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03F" w:rsidRPr="009E03B6" w:rsidRDefault="00A2403F" w:rsidP="00C064E3">
      <w:pPr>
        <w:spacing w:after="0" w:line="240" w:lineRule="auto"/>
        <w:jc w:val="center"/>
        <w:rPr>
          <w:rFonts w:ascii="Times New Roman" w:hAnsi="Times New Roman"/>
          <w:b/>
          <w:sz w:val="24"/>
          <w:szCs w:val="24"/>
          <w:lang w:val="kk-KZ"/>
        </w:rPr>
      </w:pPr>
      <w:r w:rsidRPr="009E03B6">
        <w:rPr>
          <w:rFonts w:ascii="Times New Roman" w:hAnsi="Times New Roman"/>
          <w:b/>
          <w:sz w:val="24"/>
          <w:szCs w:val="24"/>
        </w:rPr>
        <w:t>Объявление</w:t>
      </w:r>
      <w:r w:rsidRPr="009E03B6">
        <w:rPr>
          <w:rFonts w:ascii="Times New Roman" w:hAnsi="Times New Roman"/>
          <w:b/>
          <w:sz w:val="24"/>
          <w:szCs w:val="24"/>
        </w:rPr>
        <w:br/>
        <w:t xml:space="preserve"> о проведении закупа способом запроса ценовых предложений</w:t>
      </w:r>
      <w:r w:rsidR="00D73518" w:rsidRPr="009E03B6">
        <w:rPr>
          <w:rFonts w:ascii="Times New Roman" w:hAnsi="Times New Roman"/>
          <w:b/>
          <w:sz w:val="24"/>
          <w:szCs w:val="24"/>
        </w:rPr>
        <w:t xml:space="preserve"> </w:t>
      </w:r>
    </w:p>
    <w:p w:rsidR="00A2403F" w:rsidRPr="006049E8" w:rsidRDefault="00A2403F" w:rsidP="00C064E3">
      <w:pPr>
        <w:spacing w:after="0" w:line="240" w:lineRule="auto"/>
        <w:jc w:val="center"/>
        <w:rPr>
          <w:rFonts w:ascii="Times New Roman" w:hAnsi="Times New Roman"/>
          <w:b/>
          <w:sz w:val="28"/>
          <w:szCs w:val="28"/>
        </w:rPr>
      </w:pPr>
    </w:p>
    <w:p w:rsidR="00FE54A3" w:rsidRPr="008D4B4D" w:rsidRDefault="00C12654" w:rsidP="006049E8">
      <w:pPr>
        <w:spacing w:line="240" w:lineRule="auto"/>
        <w:ind w:left="142"/>
        <w:jc w:val="both"/>
        <w:rPr>
          <w:rFonts w:ascii="Times New Roman" w:hAnsi="Times New Roman"/>
          <w:b/>
          <w:sz w:val="24"/>
          <w:szCs w:val="24"/>
          <w:lang w:val="kk-KZ"/>
        </w:rPr>
      </w:pPr>
      <w:r>
        <w:rPr>
          <w:rFonts w:ascii="Times New Roman" w:hAnsi="Times New Roman"/>
          <w:b/>
          <w:sz w:val="24"/>
          <w:szCs w:val="24"/>
        </w:rPr>
        <w:t xml:space="preserve">           </w:t>
      </w:r>
      <w:r w:rsidR="008B0EC6" w:rsidRPr="008D4B4D">
        <w:rPr>
          <w:rFonts w:ascii="Times New Roman" w:hAnsi="Times New Roman"/>
          <w:b/>
          <w:sz w:val="24"/>
          <w:szCs w:val="24"/>
        </w:rPr>
        <w:t>г. Алматы</w:t>
      </w:r>
      <w:r w:rsidR="009A585D" w:rsidRPr="008D4B4D">
        <w:rPr>
          <w:rFonts w:ascii="Times New Roman" w:hAnsi="Times New Roman"/>
          <w:b/>
          <w:sz w:val="24"/>
          <w:szCs w:val="24"/>
          <w:lang w:val="kk-KZ"/>
        </w:rPr>
        <w:t xml:space="preserve"> </w:t>
      </w:r>
      <w:r>
        <w:rPr>
          <w:rFonts w:ascii="Times New Roman" w:hAnsi="Times New Roman"/>
          <w:b/>
          <w:sz w:val="24"/>
          <w:szCs w:val="24"/>
          <w:lang w:val="kk-KZ"/>
        </w:rPr>
        <w:t xml:space="preserve">                                                                                                                                                                  </w:t>
      </w:r>
      <w:r w:rsidR="009A585D" w:rsidRPr="008D4B4D">
        <w:rPr>
          <w:rFonts w:ascii="Times New Roman" w:hAnsi="Times New Roman"/>
          <w:b/>
          <w:sz w:val="24"/>
          <w:szCs w:val="24"/>
          <w:lang w:val="kk-KZ"/>
        </w:rPr>
        <w:t>«</w:t>
      </w:r>
      <w:r w:rsidR="005D2B6E">
        <w:rPr>
          <w:rFonts w:ascii="Times New Roman" w:hAnsi="Times New Roman"/>
          <w:b/>
          <w:sz w:val="24"/>
          <w:szCs w:val="24"/>
          <w:lang w:val="kk-KZ"/>
        </w:rPr>
        <w:t>25</w:t>
      </w:r>
      <w:r w:rsidR="0000387B" w:rsidRPr="008D4B4D">
        <w:rPr>
          <w:rFonts w:ascii="Times New Roman" w:hAnsi="Times New Roman"/>
          <w:b/>
          <w:sz w:val="24"/>
          <w:szCs w:val="24"/>
        </w:rPr>
        <w:t xml:space="preserve">» </w:t>
      </w:r>
      <w:r w:rsidR="00D47CE7">
        <w:rPr>
          <w:rFonts w:ascii="Times New Roman" w:hAnsi="Times New Roman"/>
          <w:b/>
          <w:sz w:val="24"/>
          <w:szCs w:val="24"/>
          <w:lang w:val="kk-KZ"/>
        </w:rPr>
        <w:t>февраля</w:t>
      </w:r>
      <w:r w:rsidR="0000387B" w:rsidRPr="008D4B4D">
        <w:rPr>
          <w:rFonts w:ascii="Times New Roman" w:hAnsi="Times New Roman"/>
          <w:b/>
          <w:sz w:val="24"/>
          <w:szCs w:val="24"/>
        </w:rPr>
        <w:t xml:space="preserve"> 202</w:t>
      </w:r>
      <w:r w:rsidR="00215604">
        <w:rPr>
          <w:rFonts w:ascii="Times New Roman" w:hAnsi="Times New Roman"/>
          <w:b/>
          <w:sz w:val="24"/>
          <w:szCs w:val="24"/>
          <w:lang w:val="kk-KZ"/>
        </w:rPr>
        <w:t>2</w:t>
      </w:r>
      <w:r w:rsidR="0000387B" w:rsidRPr="008D4B4D">
        <w:rPr>
          <w:rFonts w:ascii="Times New Roman" w:hAnsi="Times New Roman"/>
          <w:b/>
          <w:sz w:val="24"/>
          <w:szCs w:val="24"/>
        </w:rPr>
        <w:t xml:space="preserve"> г</w:t>
      </w:r>
    </w:p>
    <w:p w:rsidR="006151F8" w:rsidRDefault="006D750C" w:rsidP="006151F8">
      <w:pPr>
        <w:spacing w:after="0" w:line="240" w:lineRule="auto"/>
        <w:ind w:firstLine="708"/>
        <w:jc w:val="both"/>
        <w:rPr>
          <w:rFonts w:ascii="Times New Roman" w:hAnsi="Times New Roman"/>
          <w:sz w:val="24"/>
          <w:szCs w:val="24"/>
        </w:rPr>
      </w:pPr>
      <w:r>
        <w:rPr>
          <w:rFonts w:ascii="Times New Roman" w:hAnsi="Times New Roman"/>
          <w:sz w:val="24"/>
          <w:szCs w:val="24"/>
        </w:rPr>
        <w:t>ГКП</w:t>
      </w:r>
      <w:r w:rsidR="007977E2">
        <w:rPr>
          <w:rFonts w:ascii="Times New Roman" w:hAnsi="Times New Roman"/>
          <w:sz w:val="24"/>
          <w:szCs w:val="24"/>
          <w:lang w:val="kk-KZ"/>
        </w:rPr>
        <w:t xml:space="preserve"> на ПХВ </w:t>
      </w:r>
      <w:r w:rsidR="00F86C8A" w:rsidRPr="00215604">
        <w:rPr>
          <w:rFonts w:ascii="Times New Roman" w:hAnsi="Times New Roman"/>
          <w:sz w:val="24"/>
          <w:szCs w:val="24"/>
        </w:rPr>
        <w:t>«</w:t>
      </w:r>
      <w:r>
        <w:rPr>
          <w:rFonts w:ascii="Times New Roman" w:hAnsi="Times New Roman"/>
          <w:sz w:val="24"/>
          <w:szCs w:val="24"/>
        </w:rPr>
        <w:t>Городской перинатальный центр</w:t>
      </w:r>
      <w:r w:rsidR="007977E2">
        <w:rPr>
          <w:rFonts w:ascii="Times New Roman" w:hAnsi="Times New Roman"/>
          <w:sz w:val="24"/>
          <w:szCs w:val="24"/>
        </w:rPr>
        <w:t>»</w:t>
      </w:r>
      <w:r>
        <w:rPr>
          <w:rFonts w:ascii="Times New Roman" w:hAnsi="Times New Roman"/>
          <w:sz w:val="24"/>
          <w:szCs w:val="24"/>
          <w:lang w:val="kk-KZ"/>
        </w:rPr>
        <w:t xml:space="preserve"> У</w:t>
      </w:r>
      <w:r w:rsidR="007977E2">
        <w:rPr>
          <w:rFonts w:ascii="Times New Roman" w:hAnsi="Times New Roman"/>
          <w:sz w:val="24"/>
          <w:szCs w:val="24"/>
          <w:lang w:val="kk-KZ"/>
        </w:rPr>
        <w:t>З г.Алматы</w:t>
      </w:r>
      <w:r w:rsidR="00F86C8A" w:rsidRPr="00215604">
        <w:rPr>
          <w:rFonts w:ascii="Times New Roman" w:hAnsi="Times New Roman"/>
          <w:sz w:val="24"/>
          <w:szCs w:val="24"/>
        </w:rPr>
        <w:t xml:space="preserve"> объявляет о проведения закупа лекарственных средств и медицинских изделий способом запроса ценовых предложений в соответствии Главы 9 постановлением Правительства Республики Казахстан от 04 </w:t>
      </w:r>
      <w:r w:rsidR="00F86C8A" w:rsidRPr="00215604">
        <w:rPr>
          <w:rFonts w:ascii="Times New Roman" w:hAnsi="Times New Roman"/>
          <w:sz w:val="24"/>
          <w:szCs w:val="24"/>
          <w:lang w:val="kk-KZ"/>
        </w:rPr>
        <w:t>июня</w:t>
      </w:r>
      <w:r w:rsidR="00F86C8A" w:rsidRPr="00215604">
        <w:rPr>
          <w:rFonts w:ascii="Times New Roman" w:hAnsi="Times New Roman"/>
          <w:sz w:val="24"/>
          <w:szCs w:val="24"/>
        </w:rPr>
        <w:t xml:space="preserve"> 20</w:t>
      </w:r>
      <w:r w:rsidR="00F86C8A" w:rsidRPr="00215604">
        <w:rPr>
          <w:rFonts w:ascii="Times New Roman" w:hAnsi="Times New Roman"/>
          <w:sz w:val="24"/>
          <w:szCs w:val="24"/>
          <w:lang w:val="kk-KZ"/>
        </w:rPr>
        <w:t>21</w:t>
      </w:r>
      <w:r w:rsidR="00F86C8A" w:rsidRPr="00215604">
        <w:rPr>
          <w:rFonts w:ascii="Times New Roman" w:hAnsi="Times New Roman"/>
          <w:sz w:val="24"/>
          <w:szCs w:val="24"/>
        </w:rPr>
        <w:t xml:space="preserve"> года № </w:t>
      </w:r>
      <w:r w:rsidR="005E47BB" w:rsidRPr="00215604">
        <w:rPr>
          <w:rFonts w:ascii="Times New Roman" w:hAnsi="Times New Roman"/>
          <w:sz w:val="24"/>
          <w:szCs w:val="24"/>
          <w:lang w:val="kk-KZ"/>
        </w:rPr>
        <w:t>37</w:t>
      </w:r>
      <w:r w:rsidR="00F86C8A" w:rsidRPr="00215604">
        <w:rPr>
          <w:rFonts w:ascii="Times New Roman" w:hAnsi="Times New Roman"/>
          <w:sz w:val="24"/>
          <w:szCs w:val="24"/>
          <w:lang w:val="kk-KZ"/>
        </w:rPr>
        <w:t>5</w:t>
      </w:r>
      <w:r w:rsidR="00137E58">
        <w:rPr>
          <w:rFonts w:ascii="Times New Roman" w:hAnsi="Times New Roman"/>
          <w:sz w:val="24"/>
          <w:szCs w:val="24"/>
          <w:lang w:val="kk-KZ"/>
        </w:rPr>
        <w:t xml:space="preserve"> </w:t>
      </w:r>
      <w:r w:rsidR="00F86C8A" w:rsidRPr="00215604">
        <w:rPr>
          <w:rFonts w:ascii="Times New Roman" w:hAnsi="Times New Roman"/>
          <w:color w:val="000000" w:themeColor="text1"/>
          <w:sz w:val="24"/>
          <w:szCs w:val="24"/>
        </w:rP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Pr>
          <w:rFonts w:ascii="Times New Roman" w:hAnsi="Times New Roman"/>
          <w:color w:val="000000" w:themeColor="text1"/>
          <w:sz w:val="24"/>
          <w:szCs w:val="24"/>
        </w:rPr>
        <w:t xml:space="preserve"> </w:t>
      </w:r>
      <w:r w:rsidR="00F86C8A" w:rsidRPr="00215604">
        <w:rPr>
          <w:rFonts w:ascii="Times New Roman" w:hAnsi="Times New Roman"/>
          <w:color w:val="000000" w:themeColor="text1"/>
          <w:sz w:val="24"/>
          <w:szCs w:val="24"/>
        </w:rPr>
        <w:t>(</w:t>
      </w:r>
      <w:r w:rsidR="00F86C8A" w:rsidRPr="00215604">
        <w:rPr>
          <w:rFonts w:ascii="Times New Roman" w:hAnsi="Times New Roman"/>
          <w:sz w:val="24"/>
          <w:szCs w:val="24"/>
        </w:rPr>
        <w:t>далее – Правила) на сумму</w:t>
      </w:r>
      <w:r w:rsidR="006151F8" w:rsidRPr="00215604">
        <w:rPr>
          <w:rFonts w:ascii="Times New Roman" w:hAnsi="Times New Roman"/>
          <w:sz w:val="24"/>
          <w:szCs w:val="24"/>
        </w:rPr>
        <w:t xml:space="preserve">: </w:t>
      </w:r>
      <w:r w:rsidR="00E65691">
        <w:rPr>
          <w:rFonts w:ascii="Times New Roman" w:eastAsia="Times New Roman" w:hAnsi="Times New Roman"/>
          <w:bCs/>
          <w:color w:val="000000"/>
          <w:sz w:val="24"/>
          <w:szCs w:val="24"/>
          <w:lang w:val="kk-KZ" w:eastAsia="ru-RU"/>
        </w:rPr>
        <w:t>35 673 305</w:t>
      </w:r>
      <w:r w:rsidR="006151F8" w:rsidRPr="00215604">
        <w:rPr>
          <w:rFonts w:ascii="Times New Roman" w:hAnsi="Times New Roman"/>
          <w:sz w:val="24"/>
          <w:szCs w:val="24"/>
        </w:rPr>
        <w:t xml:space="preserve"> тенге 00 тиын.</w:t>
      </w:r>
    </w:p>
    <w:p w:rsidR="00C21C85" w:rsidRDefault="00C21C85" w:rsidP="006151F8">
      <w:pPr>
        <w:spacing w:after="0" w:line="240" w:lineRule="auto"/>
        <w:ind w:firstLine="708"/>
        <w:jc w:val="both"/>
        <w:rPr>
          <w:rFonts w:ascii="Times New Roman" w:hAnsi="Times New Roman"/>
          <w:sz w:val="24"/>
          <w:szCs w:val="24"/>
        </w:rPr>
      </w:pPr>
    </w:p>
    <w:p w:rsidR="00CC4025" w:rsidRPr="00215604" w:rsidRDefault="00CC4025" w:rsidP="006151F8">
      <w:pPr>
        <w:spacing w:after="0" w:line="240" w:lineRule="auto"/>
        <w:ind w:firstLine="708"/>
        <w:jc w:val="both"/>
        <w:rPr>
          <w:rFonts w:ascii="Times New Roman" w:hAnsi="Times New Roman"/>
          <w:b/>
          <w:sz w:val="24"/>
          <w:szCs w:val="24"/>
          <w:lang w:val="kk-KZ"/>
        </w:rPr>
      </w:pPr>
    </w:p>
    <w:p w:rsidR="00E239F8" w:rsidRDefault="00C86E71" w:rsidP="00E432EF">
      <w:pPr>
        <w:spacing w:after="0" w:line="240" w:lineRule="auto"/>
        <w:ind w:firstLine="708"/>
        <w:jc w:val="both"/>
        <w:rPr>
          <w:rFonts w:ascii="Times New Roman" w:hAnsi="Times New Roman"/>
          <w:b/>
          <w:sz w:val="24"/>
          <w:szCs w:val="24"/>
        </w:rPr>
      </w:pPr>
      <w:r w:rsidRPr="008D4B4D">
        <w:rPr>
          <w:rFonts w:ascii="Times New Roman" w:hAnsi="Times New Roman"/>
          <w:b/>
          <w:sz w:val="24"/>
          <w:szCs w:val="24"/>
        </w:rPr>
        <w:t>Перечень закупаемых товаров:</w:t>
      </w:r>
    </w:p>
    <w:p w:rsidR="00CA45EF" w:rsidRDefault="00CA45EF" w:rsidP="00E432EF">
      <w:pPr>
        <w:spacing w:after="0" w:line="240" w:lineRule="auto"/>
        <w:ind w:firstLine="708"/>
        <w:jc w:val="both"/>
        <w:rPr>
          <w:rFonts w:ascii="Times New Roman" w:hAnsi="Times New Roman"/>
          <w:b/>
          <w:sz w:val="24"/>
          <w:szCs w:val="24"/>
        </w:rPr>
      </w:pPr>
    </w:p>
    <w:tbl>
      <w:tblPr>
        <w:tblW w:w="15674" w:type="dxa"/>
        <w:tblInd w:w="93" w:type="dxa"/>
        <w:tblLook w:val="04A0"/>
      </w:tblPr>
      <w:tblGrid>
        <w:gridCol w:w="586"/>
        <w:gridCol w:w="3540"/>
        <w:gridCol w:w="7088"/>
        <w:gridCol w:w="850"/>
        <w:gridCol w:w="920"/>
        <w:gridCol w:w="1290"/>
        <w:gridCol w:w="1400"/>
      </w:tblGrid>
      <w:tr w:rsidR="00C21C85" w:rsidRPr="00C21C85" w:rsidTr="00621DEC">
        <w:trPr>
          <w:trHeight w:val="686"/>
        </w:trPr>
        <w:tc>
          <w:tcPr>
            <w:tcW w:w="586"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b/>
                <w:bCs/>
                <w:sz w:val="18"/>
                <w:szCs w:val="18"/>
                <w:lang w:eastAsia="ru-RU"/>
              </w:rPr>
            </w:pPr>
            <w:r w:rsidRPr="00C21C85">
              <w:rPr>
                <w:rFonts w:ascii="Times New Roman" w:eastAsia="Times New Roman" w:hAnsi="Times New Roman"/>
                <w:b/>
                <w:bCs/>
                <w:sz w:val="18"/>
                <w:szCs w:val="18"/>
                <w:lang w:eastAsia="ru-RU"/>
              </w:rPr>
              <w:t>№</w:t>
            </w:r>
            <w:r w:rsidRPr="00C21C85">
              <w:rPr>
                <w:rFonts w:ascii="Times New Roman" w:eastAsia="Times New Roman" w:hAnsi="Times New Roman"/>
                <w:b/>
                <w:bCs/>
                <w:sz w:val="18"/>
                <w:szCs w:val="18"/>
                <w:lang w:eastAsia="ru-RU"/>
              </w:rPr>
              <w:br/>
              <w:t>лота</w:t>
            </w:r>
          </w:p>
        </w:tc>
        <w:tc>
          <w:tcPr>
            <w:tcW w:w="354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b/>
                <w:bCs/>
                <w:sz w:val="18"/>
                <w:szCs w:val="18"/>
                <w:lang w:eastAsia="ru-RU"/>
              </w:rPr>
            </w:pPr>
            <w:r w:rsidRPr="00C21C85">
              <w:rPr>
                <w:rFonts w:ascii="Times New Roman" w:eastAsia="Times New Roman" w:hAnsi="Times New Roman"/>
                <w:b/>
                <w:bCs/>
                <w:sz w:val="18"/>
                <w:szCs w:val="18"/>
                <w:lang w:eastAsia="ru-RU"/>
              </w:rPr>
              <w:t>Торговое  название</w:t>
            </w:r>
          </w:p>
        </w:tc>
        <w:tc>
          <w:tcPr>
            <w:tcW w:w="7088"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b/>
                <w:bCs/>
                <w:sz w:val="18"/>
                <w:szCs w:val="18"/>
                <w:lang w:eastAsia="ru-RU"/>
              </w:rPr>
            </w:pPr>
            <w:r w:rsidRPr="00C21C85">
              <w:rPr>
                <w:rFonts w:ascii="Times New Roman" w:eastAsia="Times New Roman" w:hAnsi="Times New Roman"/>
                <w:b/>
                <w:bCs/>
                <w:sz w:val="18"/>
                <w:szCs w:val="18"/>
                <w:lang w:eastAsia="ru-RU"/>
              </w:rPr>
              <w:t>тех.спецификация</w:t>
            </w:r>
          </w:p>
        </w:tc>
        <w:tc>
          <w:tcPr>
            <w:tcW w:w="85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b/>
                <w:bCs/>
                <w:sz w:val="18"/>
                <w:szCs w:val="18"/>
                <w:lang w:eastAsia="ru-RU"/>
              </w:rPr>
            </w:pPr>
            <w:r w:rsidRPr="00C21C85">
              <w:rPr>
                <w:rFonts w:ascii="Times New Roman" w:eastAsia="Times New Roman" w:hAnsi="Times New Roman"/>
                <w:b/>
                <w:bCs/>
                <w:sz w:val="18"/>
                <w:szCs w:val="18"/>
                <w:lang w:eastAsia="ru-RU"/>
              </w:rPr>
              <w:t>Ед.изм.</w:t>
            </w:r>
          </w:p>
        </w:tc>
        <w:tc>
          <w:tcPr>
            <w:tcW w:w="92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b/>
                <w:bCs/>
                <w:sz w:val="18"/>
                <w:szCs w:val="18"/>
                <w:lang w:eastAsia="ru-RU"/>
              </w:rPr>
            </w:pPr>
            <w:r w:rsidRPr="00C21C85">
              <w:rPr>
                <w:rFonts w:ascii="Times New Roman" w:eastAsia="Times New Roman" w:hAnsi="Times New Roman"/>
                <w:b/>
                <w:bCs/>
                <w:sz w:val="18"/>
                <w:szCs w:val="18"/>
                <w:lang w:eastAsia="ru-RU"/>
              </w:rPr>
              <w:t>Кол-во</w:t>
            </w:r>
          </w:p>
        </w:tc>
        <w:tc>
          <w:tcPr>
            <w:tcW w:w="1290" w:type="dxa"/>
            <w:tcBorders>
              <w:top w:val="single" w:sz="4" w:space="0" w:color="auto"/>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b/>
                <w:bCs/>
                <w:sz w:val="18"/>
                <w:szCs w:val="18"/>
                <w:lang w:eastAsia="ru-RU"/>
              </w:rPr>
            </w:pPr>
            <w:r w:rsidRPr="00C21C85">
              <w:rPr>
                <w:rFonts w:ascii="Times New Roman" w:eastAsia="Times New Roman" w:hAnsi="Times New Roman"/>
                <w:b/>
                <w:bCs/>
                <w:sz w:val="18"/>
                <w:szCs w:val="18"/>
                <w:lang w:eastAsia="ru-RU"/>
              </w:rPr>
              <w:t xml:space="preserve">Цена </w:t>
            </w:r>
          </w:p>
        </w:tc>
        <w:tc>
          <w:tcPr>
            <w:tcW w:w="140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b/>
                <w:bCs/>
                <w:sz w:val="18"/>
                <w:szCs w:val="18"/>
                <w:lang w:eastAsia="ru-RU"/>
              </w:rPr>
            </w:pPr>
            <w:r w:rsidRPr="00C21C85">
              <w:rPr>
                <w:rFonts w:ascii="Times New Roman" w:eastAsia="Times New Roman" w:hAnsi="Times New Roman"/>
                <w:b/>
                <w:bCs/>
                <w:sz w:val="18"/>
                <w:szCs w:val="18"/>
                <w:lang w:eastAsia="ru-RU"/>
              </w:rPr>
              <w:t>Сумма</w:t>
            </w:r>
          </w:p>
        </w:tc>
      </w:tr>
      <w:tr w:rsidR="00C21C85" w:rsidRPr="00C21C85" w:rsidTr="00621DEC">
        <w:trPr>
          <w:trHeight w:val="685"/>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w:t>
            </w:r>
          </w:p>
        </w:tc>
        <w:tc>
          <w:tcPr>
            <w:tcW w:w="10628" w:type="dxa"/>
            <w:gridSpan w:val="2"/>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b/>
                <w:bCs/>
                <w:sz w:val="18"/>
                <w:szCs w:val="18"/>
                <w:lang w:eastAsia="ru-RU"/>
              </w:rPr>
            </w:pPr>
            <w:r w:rsidRPr="00C21C85">
              <w:rPr>
                <w:rFonts w:ascii="Times New Roman" w:eastAsia="Times New Roman" w:hAnsi="Times New Roman"/>
                <w:b/>
                <w:bCs/>
                <w:sz w:val="18"/>
                <w:szCs w:val="18"/>
                <w:lang w:eastAsia="ru-RU"/>
              </w:rPr>
              <w:t>На опредееление гр крови р.ф. антитела совместимость для иммуногематологической системы ОrthoWorkstation</w:t>
            </w:r>
          </w:p>
          <w:p w:rsidR="00C21C85" w:rsidRPr="00C21C85" w:rsidRDefault="00C21C85" w:rsidP="00C21C85">
            <w:pPr>
              <w:spacing w:after="0" w:line="240" w:lineRule="auto"/>
              <w:rPr>
                <w:rFonts w:ascii="Times New Roman" w:eastAsia="Times New Roman" w:hAnsi="Times New Roman"/>
                <w:b/>
                <w:bCs/>
                <w:sz w:val="18"/>
                <w:szCs w:val="18"/>
                <w:lang w:eastAsia="ru-RU"/>
              </w:rPr>
            </w:pPr>
            <w:r w:rsidRPr="00C21C85">
              <w:rPr>
                <w:rFonts w:ascii="Times New Roman" w:eastAsia="Times New Roman" w:hAnsi="Times New Roman"/>
                <w:b/>
                <w:bCs/>
                <w:sz w:val="18"/>
                <w:szCs w:val="18"/>
                <w:lang w:eastAsia="ru-RU"/>
              </w:rPr>
              <w:t> </w:t>
            </w:r>
          </w:p>
        </w:tc>
        <w:tc>
          <w:tcPr>
            <w:tcW w:w="85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w:t>
            </w:r>
          </w:p>
        </w:tc>
        <w:tc>
          <w:tcPr>
            <w:tcW w:w="92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w:t>
            </w:r>
          </w:p>
        </w:tc>
        <w:tc>
          <w:tcPr>
            <w:tcW w:w="129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w:t>
            </w:r>
          </w:p>
        </w:tc>
      </w:tr>
      <w:tr w:rsidR="00C21C85" w:rsidRPr="00C21C85" w:rsidTr="00621DEC">
        <w:trPr>
          <w:trHeight w:val="1076"/>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w:t>
            </w:r>
          </w:p>
        </w:tc>
        <w:tc>
          <w:tcPr>
            <w:tcW w:w="3540"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Кассеты для опр Rh-фактора и гр крови перекрестным методом 400 шт</w:t>
            </w:r>
          </w:p>
        </w:tc>
        <w:tc>
          <w:tcPr>
            <w:tcW w:w="7088"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xml:space="preserve">ABO Rh-D/кассета для определения групп крови обратной реакции (анти-А/анти-В/анти-D(анти-RH1)/контроль/разбавитель для пробы обр. реак),400шт/уп. 6 пробирочные  кассеты содержащие стеклянные шарики и реактив, </w:t>
            </w:r>
          </w:p>
        </w:tc>
        <w:tc>
          <w:tcPr>
            <w:tcW w:w="85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уп</w:t>
            </w:r>
          </w:p>
        </w:tc>
        <w:tc>
          <w:tcPr>
            <w:tcW w:w="92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4</w:t>
            </w:r>
          </w:p>
        </w:tc>
        <w:tc>
          <w:tcPr>
            <w:tcW w:w="129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498 380,00</w:t>
            </w:r>
          </w:p>
        </w:tc>
        <w:tc>
          <w:tcPr>
            <w:tcW w:w="140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1 993 520,00</w:t>
            </w:r>
          </w:p>
        </w:tc>
      </w:tr>
      <w:tr w:rsidR="00C21C85" w:rsidRPr="00C21C85" w:rsidTr="00621DEC">
        <w:trPr>
          <w:trHeight w:val="1189"/>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w:t>
            </w:r>
          </w:p>
        </w:tc>
        <w:tc>
          <w:tcPr>
            <w:tcW w:w="3540"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xml:space="preserve">Кассеты полеспецифические содержащие античеловеческие иммноголобулин для скининга антител </w:t>
            </w:r>
          </w:p>
        </w:tc>
        <w:tc>
          <w:tcPr>
            <w:tcW w:w="7088"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Поли-кассета (анти-человеческий глобулин/анти - IgG, анти-СЗ, анти-СЗб; полиспецифические), 400шт/уп. Качественный метод для выявления связанных с эритроцитами молекул IgGили комплемента. 6 пробирочные кассеты содержащие стеклянные шарики и реактив, для проведения реакции Кумбса</w:t>
            </w:r>
          </w:p>
        </w:tc>
        <w:tc>
          <w:tcPr>
            <w:tcW w:w="85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уп</w:t>
            </w:r>
          </w:p>
        </w:tc>
        <w:tc>
          <w:tcPr>
            <w:tcW w:w="92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w:t>
            </w:r>
          </w:p>
        </w:tc>
        <w:tc>
          <w:tcPr>
            <w:tcW w:w="129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519 455,00</w:t>
            </w:r>
          </w:p>
        </w:tc>
        <w:tc>
          <w:tcPr>
            <w:tcW w:w="140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1 558 365,00</w:t>
            </w:r>
          </w:p>
        </w:tc>
      </w:tr>
      <w:tr w:rsidR="00C21C85" w:rsidRPr="00C21C85" w:rsidTr="00621DEC">
        <w:trPr>
          <w:trHeight w:val="980"/>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w:t>
            </w:r>
          </w:p>
        </w:tc>
        <w:tc>
          <w:tcPr>
            <w:tcW w:w="3540" w:type="dxa"/>
            <w:tcBorders>
              <w:top w:val="single" w:sz="4" w:space="0" w:color="auto"/>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Стандартные эритроциты 0,8% для перекрестного метода определения гр крови 300 проб</w:t>
            </w:r>
          </w:p>
        </w:tc>
        <w:tc>
          <w:tcPr>
            <w:tcW w:w="7088" w:type="dxa"/>
            <w:tcBorders>
              <w:top w:val="single" w:sz="4" w:space="0" w:color="auto"/>
              <w:left w:val="nil"/>
              <w:bottom w:val="single" w:sz="4" w:space="0" w:color="auto"/>
              <w:right w:val="nil"/>
            </w:tcBorders>
            <w:shd w:val="clear" w:color="auto" w:fill="auto"/>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0,8% Серджискрин (0,8% Surgiscreen), 3x10мл. Эритроциты в виде 0,8%-й суспензии используются для идентификации возможных антител неожидаемых групп крови с помощью системы</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уп</w:t>
            </w:r>
          </w:p>
        </w:tc>
        <w:tc>
          <w:tcPr>
            <w:tcW w:w="92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13</w:t>
            </w:r>
          </w:p>
        </w:tc>
        <w:tc>
          <w:tcPr>
            <w:tcW w:w="129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25 120,00</w:t>
            </w:r>
          </w:p>
        </w:tc>
        <w:tc>
          <w:tcPr>
            <w:tcW w:w="140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326 560,00</w:t>
            </w:r>
          </w:p>
        </w:tc>
      </w:tr>
      <w:tr w:rsidR="00621DEC" w:rsidRPr="00C21C85" w:rsidTr="00621DEC">
        <w:trPr>
          <w:trHeight w:val="1412"/>
        </w:trPr>
        <w:tc>
          <w:tcPr>
            <w:tcW w:w="586"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4</w:t>
            </w:r>
          </w:p>
        </w:tc>
        <w:tc>
          <w:tcPr>
            <w:tcW w:w="3540" w:type="dxa"/>
            <w:tcBorders>
              <w:top w:val="single" w:sz="4" w:space="0" w:color="auto"/>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Стандартные эритроциты 0,3% для поиска антител 200 проб</w:t>
            </w:r>
          </w:p>
        </w:tc>
        <w:tc>
          <w:tcPr>
            <w:tcW w:w="7088"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3% Аффирмаджен (3% Affirmagen), 2x3мл. Набор из двух флаконов (один с А1- эритроцитами, второй - с В-клетками). Каждый флакон содержит 3%-ю суспензию полученных от нескольких доноров Rh- отрицательных (D-, С, Е) эритроцитов в растворе низкой ионной силы и используются в качестве реактивов для системы с целью обнаружения в образцах пациентов и доноров антител ожидаемой группы крови</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уп</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17</w:t>
            </w:r>
          </w:p>
        </w:tc>
        <w:tc>
          <w:tcPr>
            <w:tcW w:w="129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15 170,00</w:t>
            </w:r>
          </w:p>
        </w:tc>
        <w:tc>
          <w:tcPr>
            <w:tcW w:w="140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257 890,00</w:t>
            </w:r>
          </w:p>
        </w:tc>
      </w:tr>
      <w:tr w:rsidR="00C21C85" w:rsidRPr="00C21C85" w:rsidTr="00621DEC">
        <w:trPr>
          <w:trHeight w:val="1391"/>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lastRenderedPageBreak/>
              <w:t>5</w:t>
            </w:r>
          </w:p>
        </w:tc>
        <w:tc>
          <w:tcPr>
            <w:tcW w:w="3540" w:type="dxa"/>
            <w:tcBorders>
              <w:top w:val="single" w:sz="4" w:space="0" w:color="auto"/>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Раствор слабой ионной силы (для совместимости)</w:t>
            </w:r>
          </w:p>
        </w:tc>
        <w:tc>
          <w:tcPr>
            <w:tcW w:w="7088" w:type="dxa"/>
            <w:tcBorders>
              <w:top w:val="single" w:sz="4" w:space="0" w:color="auto"/>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представляет собой раствор низкой ионной силы, предназначенный для обеспечения оптимальной ионной силы для фиксации антител при использовании в системе OrthoBioVue.Каждый флакон содержит 0,03M раствор хлорида натрия, глицина, глюкозы, фосфата, нуклеозида и пурина, а также консерванты хлорамфеникол, триметоприм и сульфаметоксазол</w:t>
            </w:r>
          </w:p>
        </w:tc>
        <w:tc>
          <w:tcPr>
            <w:tcW w:w="85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уп</w:t>
            </w:r>
          </w:p>
        </w:tc>
        <w:tc>
          <w:tcPr>
            <w:tcW w:w="92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w:t>
            </w:r>
          </w:p>
        </w:tc>
        <w:tc>
          <w:tcPr>
            <w:tcW w:w="129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18 000,00</w:t>
            </w:r>
          </w:p>
        </w:tc>
        <w:tc>
          <w:tcPr>
            <w:tcW w:w="140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54 000,00</w:t>
            </w:r>
          </w:p>
        </w:tc>
      </w:tr>
      <w:tr w:rsidR="00C21C85" w:rsidRPr="00C21C85" w:rsidTr="00621DEC">
        <w:trPr>
          <w:trHeight w:val="1281"/>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6</w:t>
            </w:r>
          </w:p>
        </w:tc>
        <w:tc>
          <w:tcPr>
            <w:tcW w:w="3540"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Кассета с античеловеческим глобулином Анти-IgG 400 шт</w:t>
            </w:r>
          </w:p>
        </w:tc>
        <w:tc>
          <w:tcPr>
            <w:tcW w:w="7088"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Анти-IgG  используется для прямой и непрямой пробы Кумбса, включая скрининг и идентификацию антител, пробу на совместимость и аутоконтроль.Количество тестов на кассету:от 1 до 6.Колонки 1-6: Антитела к глобулину человека Анти-IgG (Кроличьи). В качестве фильтра для эритроцитов содержит стеклянные шарики. 400шт/уп.</w:t>
            </w:r>
          </w:p>
        </w:tc>
        <w:tc>
          <w:tcPr>
            <w:tcW w:w="85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уп</w:t>
            </w:r>
          </w:p>
        </w:tc>
        <w:tc>
          <w:tcPr>
            <w:tcW w:w="92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w:t>
            </w:r>
          </w:p>
        </w:tc>
        <w:tc>
          <w:tcPr>
            <w:tcW w:w="129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593 000,00</w:t>
            </w:r>
          </w:p>
        </w:tc>
        <w:tc>
          <w:tcPr>
            <w:tcW w:w="140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593 000,00</w:t>
            </w:r>
          </w:p>
        </w:tc>
      </w:tr>
      <w:tr w:rsidR="00C21C85" w:rsidRPr="00C21C85" w:rsidTr="00621DEC">
        <w:trPr>
          <w:trHeight w:val="691"/>
        </w:trPr>
        <w:tc>
          <w:tcPr>
            <w:tcW w:w="586" w:type="dxa"/>
            <w:tcBorders>
              <w:top w:val="nil"/>
              <w:left w:val="single" w:sz="4" w:space="0" w:color="auto"/>
              <w:bottom w:val="single" w:sz="4" w:space="0" w:color="auto"/>
              <w:right w:val="nil"/>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w:t>
            </w:r>
          </w:p>
        </w:tc>
        <w:tc>
          <w:tcPr>
            <w:tcW w:w="10628" w:type="dxa"/>
            <w:gridSpan w:val="2"/>
            <w:tcBorders>
              <w:top w:val="single" w:sz="4" w:space="0" w:color="auto"/>
              <w:left w:val="nil"/>
              <w:bottom w:val="single" w:sz="4" w:space="0" w:color="auto"/>
              <w:right w:val="nil"/>
            </w:tcBorders>
            <w:shd w:val="clear" w:color="auto" w:fill="auto"/>
            <w:hideMark/>
          </w:tcPr>
          <w:p w:rsidR="00C21C85" w:rsidRPr="00C21C85" w:rsidRDefault="00C21C85" w:rsidP="00C21C85">
            <w:pPr>
              <w:spacing w:after="0" w:line="240" w:lineRule="auto"/>
              <w:rPr>
                <w:rFonts w:ascii="Times New Roman" w:eastAsia="Times New Roman" w:hAnsi="Times New Roman"/>
                <w:b/>
                <w:bCs/>
                <w:sz w:val="18"/>
                <w:szCs w:val="18"/>
                <w:lang w:eastAsia="ru-RU"/>
              </w:rPr>
            </w:pPr>
            <w:r w:rsidRPr="00C21C85">
              <w:rPr>
                <w:rFonts w:ascii="Times New Roman" w:eastAsia="Times New Roman" w:hAnsi="Times New Roman"/>
                <w:b/>
                <w:bCs/>
                <w:sz w:val="18"/>
                <w:szCs w:val="18"/>
                <w:lang w:eastAsia="ru-RU"/>
              </w:rPr>
              <w:t>Нана анализатор гемостаза тромбоэластограф TEG</w:t>
            </w:r>
          </w:p>
        </w:tc>
        <w:tc>
          <w:tcPr>
            <w:tcW w:w="850" w:type="dxa"/>
            <w:tcBorders>
              <w:top w:val="nil"/>
              <w:left w:val="nil"/>
              <w:bottom w:val="nil"/>
              <w:right w:val="nil"/>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p>
        </w:tc>
        <w:tc>
          <w:tcPr>
            <w:tcW w:w="920" w:type="dxa"/>
            <w:tcBorders>
              <w:top w:val="nil"/>
              <w:left w:val="nil"/>
              <w:bottom w:val="nil"/>
              <w:right w:val="nil"/>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p>
        </w:tc>
        <w:tc>
          <w:tcPr>
            <w:tcW w:w="1290" w:type="dxa"/>
            <w:tcBorders>
              <w:top w:val="nil"/>
              <w:left w:val="nil"/>
              <w:bottom w:val="nil"/>
              <w:right w:val="nil"/>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p>
        </w:tc>
        <w:tc>
          <w:tcPr>
            <w:tcW w:w="1400" w:type="dxa"/>
            <w:tcBorders>
              <w:top w:val="nil"/>
              <w:left w:val="nil"/>
              <w:bottom w:val="nil"/>
              <w:right w:val="nil"/>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p>
        </w:tc>
      </w:tr>
      <w:tr w:rsidR="00C21C85" w:rsidRPr="00C21C85" w:rsidTr="00621DEC">
        <w:trPr>
          <w:trHeight w:val="750"/>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7</w:t>
            </w:r>
          </w:p>
        </w:tc>
        <w:tc>
          <w:tcPr>
            <w:tcW w:w="3540"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Одноразовые кюветы и стержни 20 шт/уп</w:t>
            </w:r>
          </w:p>
        </w:tc>
        <w:tc>
          <w:tcPr>
            <w:tcW w:w="7088"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Кюветы и стержни не стерильные. 20 кювет и стержней, изготовленных из органического пластика.</w:t>
            </w:r>
          </w:p>
        </w:tc>
        <w:tc>
          <w:tcPr>
            <w:tcW w:w="85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уп</w:t>
            </w:r>
          </w:p>
        </w:tc>
        <w:tc>
          <w:tcPr>
            <w:tcW w:w="92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12</w:t>
            </w:r>
          </w:p>
        </w:tc>
        <w:tc>
          <w:tcPr>
            <w:tcW w:w="129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75 200,00</w:t>
            </w:r>
          </w:p>
        </w:tc>
        <w:tc>
          <w:tcPr>
            <w:tcW w:w="140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902 400,00</w:t>
            </w:r>
          </w:p>
        </w:tc>
      </w:tr>
      <w:tr w:rsidR="00C21C85" w:rsidRPr="00C21C85" w:rsidTr="00621DEC">
        <w:trPr>
          <w:trHeight w:val="1014"/>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8</w:t>
            </w:r>
          </w:p>
        </w:tc>
        <w:tc>
          <w:tcPr>
            <w:tcW w:w="3540"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Коалин 25 шт/уп</w:t>
            </w:r>
          </w:p>
        </w:tc>
        <w:tc>
          <w:tcPr>
            <w:tcW w:w="7088"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25 пластиковых пробирок с напылением на внутренние стенки каолина. Каолин</w:t>
            </w:r>
            <w:r w:rsidRPr="00C21C85">
              <w:rPr>
                <w:rFonts w:ascii="Times New Roman" w:eastAsia="Times New Roman" w:hAnsi="Times New Roman"/>
                <w:b/>
                <w:bCs/>
                <w:color w:val="000000"/>
                <w:sz w:val="18"/>
                <w:szCs w:val="18"/>
                <w:lang w:eastAsia="ru-RU"/>
              </w:rPr>
              <w:t xml:space="preserve"> - </w:t>
            </w:r>
            <w:r w:rsidRPr="00C21C85">
              <w:rPr>
                <w:rFonts w:ascii="Times New Roman" w:eastAsia="Times New Roman" w:hAnsi="Times New Roman"/>
                <w:color w:val="000000"/>
                <w:sz w:val="18"/>
                <w:szCs w:val="18"/>
                <w:lang w:eastAsia="ru-RU"/>
              </w:rPr>
              <w:t>белый порошок желтоватого или сероватого цвета, жирный на ощупь. Нерастворим в воде и разведенных кислотах.</w:t>
            </w:r>
          </w:p>
        </w:tc>
        <w:tc>
          <w:tcPr>
            <w:tcW w:w="85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уп</w:t>
            </w:r>
          </w:p>
        </w:tc>
        <w:tc>
          <w:tcPr>
            <w:tcW w:w="92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4</w:t>
            </w:r>
          </w:p>
        </w:tc>
        <w:tc>
          <w:tcPr>
            <w:tcW w:w="129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57 350,00</w:t>
            </w:r>
          </w:p>
        </w:tc>
        <w:tc>
          <w:tcPr>
            <w:tcW w:w="140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229 400,00</w:t>
            </w:r>
          </w:p>
        </w:tc>
      </w:tr>
      <w:tr w:rsidR="00C21C85" w:rsidRPr="00C21C85" w:rsidTr="00621DEC">
        <w:trPr>
          <w:trHeight w:val="750"/>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9</w:t>
            </w:r>
          </w:p>
        </w:tc>
        <w:tc>
          <w:tcPr>
            <w:tcW w:w="3540"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Контроль р/ры Level 1    12 штук</w:t>
            </w:r>
          </w:p>
        </w:tc>
        <w:tc>
          <w:tcPr>
            <w:tcW w:w="7088" w:type="dxa"/>
            <w:tcBorders>
              <w:top w:val="nil"/>
              <w:left w:val="nil"/>
              <w:bottom w:val="single" w:sz="4" w:space="0" w:color="auto"/>
              <w:right w:val="single" w:sz="4" w:space="0" w:color="auto"/>
            </w:tcBorders>
            <w:shd w:val="clear" w:color="auto" w:fill="auto"/>
            <w:hideMark/>
          </w:tcPr>
          <w:p w:rsid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В каждой упаковке находится 12 пробирок с сухим реагентом, 12 пробирок с дистиллированной водой и  СаCl2  0.2М</w:t>
            </w:r>
          </w:p>
          <w:p w:rsidR="00C21C85" w:rsidRDefault="00C21C85" w:rsidP="00C21C85">
            <w:pPr>
              <w:spacing w:after="0" w:line="240" w:lineRule="auto"/>
              <w:rPr>
                <w:rFonts w:ascii="Times New Roman" w:eastAsia="Times New Roman" w:hAnsi="Times New Roman"/>
                <w:sz w:val="18"/>
                <w:szCs w:val="18"/>
                <w:lang w:eastAsia="ru-RU"/>
              </w:rPr>
            </w:pPr>
          </w:p>
          <w:p w:rsidR="00C21C85" w:rsidRPr="00C21C85" w:rsidRDefault="00C21C85" w:rsidP="00C21C85">
            <w:pPr>
              <w:spacing w:after="0" w:line="240" w:lineRule="auto"/>
              <w:rPr>
                <w:rFonts w:ascii="Times New Roman" w:eastAsia="Times New Roman" w:hAnsi="Times New Roman"/>
                <w:sz w:val="18"/>
                <w:szCs w:val="18"/>
                <w:lang w:eastAsia="ru-RU"/>
              </w:rPr>
            </w:pPr>
          </w:p>
        </w:tc>
        <w:tc>
          <w:tcPr>
            <w:tcW w:w="85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уп</w:t>
            </w:r>
          </w:p>
        </w:tc>
        <w:tc>
          <w:tcPr>
            <w:tcW w:w="92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w:t>
            </w:r>
          </w:p>
        </w:tc>
        <w:tc>
          <w:tcPr>
            <w:tcW w:w="129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58 009,00</w:t>
            </w:r>
          </w:p>
        </w:tc>
        <w:tc>
          <w:tcPr>
            <w:tcW w:w="140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58 009,00</w:t>
            </w:r>
          </w:p>
        </w:tc>
      </w:tr>
      <w:tr w:rsidR="00C21C85" w:rsidRPr="00C21C85" w:rsidTr="00621DEC">
        <w:trPr>
          <w:trHeight w:val="785"/>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10</w:t>
            </w:r>
          </w:p>
        </w:tc>
        <w:tc>
          <w:tcPr>
            <w:tcW w:w="3540"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xml:space="preserve">Контроль р/ры Level 11    12 штук </w:t>
            </w:r>
          </w:p>
        </w:tc>
        <w:tc>
          <w:tcPr>
            <w:tcW w:w="7088" w:type="dxa"/>
            <w:tcBorders>
              <w:top w:val="nil"/>
              <w:left w:val="nil"/>
              <w:bottom w:val="nil"/>
              <w:right w:val="nil"/>
            </w:tcBorders>
            <w:shd w:val="clear" w:color="auto" w:fill="auto"/>
            <w:hideMark/>
          </w:tcPr>
          <w:p w:rsid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В каждой упаковке находится 12 пробирок с сухим реагентом, 12 пробирок с дистиллированной водой и  СаCl</w:t>
            </w:r>
            <w:r w:rsidRPr="00C21C85">
              <w:rPr>
                <w:rFonts w:ascii="Times New Roman" w:eastAsia="Times New Roman" w:hAnsi="Times New Roman"/>
                <w:color w:val="000000"/>
                <w:sz w:val="18"/>
                <w:szCs w:val="18"/>
                <w:vertAlign w:val="subscript"/>
                <w:lang w:eastAsia="ru-RU"/>
              </w:rPr>
              <w:t>2</w:t>
            </w:r>
            <w:r w:rsidRPr="00C21C85">
              <w:rPr>
                <w:rFonts w:ascii="Times New Roman" w:eastAsia="Times New Roman" w:hAnsi="Times New Roman"/>
                <w:color w:val="000000"/>
                <w:sz w:val="18"/>
                <w:szCs w:val="18"/>
                <w:lang w:eastAsia="ru-RU"/>
              </w:rPr>
              <w:t xml:space="preserve">  0.2М</w:t>
            </w:r>
          </w:p>
          <w:p w:rsidR="00C21C85" w:rsidRDefault="00C21C85" w:rsidP="00C21C85">
            <w:pPr>
              <w:spacing w:after="0" w:line="240" w:lineRule="auto"/>
              <w:rPr>
                <w:rFonts w:ascii="Times New Roman" w:eastAsia="Times New Roman" w:hAnsi="Times New Roman"/>
                <w:color w:val="000000"/>
                <w:sz w:val="18"/>
                <w:szCs w:val="18"/>
                <w:lang w:eastAsia="ru-RU"/>
              </w:rPr>
            </w:pPr>
          </w:p>
          <w:p w:rsidR="00C21C85" w:rsidRPr="00C21C85" w:rsidRDefault="00C21C85" w:rsidP="00C21C85">
            <w:pPr>
              <w:spacing w:after="0" w:line="240" w:lineRule="auto"/>
              <w:rPr>
                <w:rFonts w:ascii="Times New Roman" w:eastAsia="Times New Roman" w:hAnsi="Times New Roman"/>
                <w:color w:val="000000"/>
                <w:sz w:val="18"/>
                <w:szCs w:val="18"/>
                <w:lang w:eastAsia="ru-RU"/>
              </w:rPr>
            </w:pPr>
          </w:p>
        </w:tc>
        <w:tc>
          <w:tcPr>
            <w:tcW w:w="850"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уп</w:t>
            </w:r>
          </w:p>
        </w:tc>
        <w:tc>
          <w:tcPr>
            <w:tcW w:w="92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w:t>
            </w:r>
          </w:p>
        </w:tc>
        <w:tc>
          <w:tcPr>
            <w:tcW w:w="129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58 009,00</w:t>
            </w:r>
          </w:p>
        </w:tc>
        <w:tc>
          <w:tcPr>
            <w:tcW w:w="140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58 009,00</w:t>
            </w:r>
          </w:p>
        </w:tc>
      </w:tr>
      <w:tr w:rsidR="00C21C85" w:rsidRPr="00C21C85" w:rsidTr="00621DEC">
        <w:trPr>
          <w:trHeight w:val="795"/>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11</w:t>
            </w:r>
          </w:p>
        </w:tc>
        <w:tc>
          <w:tcPr>
            <w:tcW w:w="3540"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Хлорид кальция 0.2 М 5 мл</w:t>
            </w:r>
          </w:p>
        </w:tc>
        <w:tc>
          <w:tcPr>
            <w:tcW w:w="7088" w:type="dxa"/>
            <w:tcBorders>
              <w:top w:val="single" w:sz="4" w:space="0" w:color="auto"/>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Флакон содержит 5 мл 0,2М раствора хлорида кальция. Применяется для рекальцификации цитратной пробы крови.</w:t>
            </w:r>
          </w:p>
        </w:tc>
        <w:tc>
          <w:tcPr>
            <w:tcW w:w="85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уп</w:t>
            </w:r>
          </w:p>
        </w:tc>
        <w:tc>
          <w:tcPr>
            <w:tcW w:w="92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w:t>
            </w:r>
          </w:p>
        </w:tc>
        <w:tc>
          <w:tcPr>
            <w:tcW w:w="129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5 901,00</w:t>
            </w:r>
          </w:p>
        </w:tc>
        <w:tc>
          <w:tcPr>
            <w:tcW w:w="140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11 802,00</w:t>
            </w:r>
          </w:p>
        </w:tc>
      </w:tr>
      <w:tr w:rsidR="00C21C85" w:rsidRPr="00C21C85" w:rsidTr="00621DEC">
        <w:trPr>
          <w:trHeight w:val="750"/>
        </w:trPr>
        <w:tc>
          <w:tcPr>
            <w:tcW w:w="586"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w:t>
            </w:r>
          </w:p>
        </w:tc>
        <w:tc>
          <w:tcPr>
            <w:tcW w:w="3540"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b/>
                <w:bCs/>
                <w:sz w:val="18"/>
                <w:szCs w:val="18"/>
                <w:lang w:val="en-US" w:eastAsia="ru-RU"/>
              </w:rPr>
            </w:pPr>
            <w:r w:rsidRPr="00C21C85">
              <w:rPr>
                <w:rFonts w:ascii="Times New Roman" w:eastAsia="Times New Roman" w:hAnsi="Times New Roman"/>
                <w:b/>
                <w:bCs/>
                <w:sz w:val="18"/>
                <w:szCs w:val="18"/>
                <w:lang w:eastAsia="ru-RU"/>
              </w:rPr>
              <w:t>Мочевой</w:t>
            </w:r>
            <w:r w:rsidRPr="00C21C85">
              <w:rPr>
                <w:rFonts w:ascii="Times New Roman" w:eastAsia="Times New Roman" w:hAnsi="Times New Roman"/>
                <w:b/>
                <w:bCs/>
                <w:sz w:val="18"/>
                <w:szCs w:val="18"/>
                <w:lang w:val="en-US" w:eastAsia="ru-RU"/>
              </w:rPr>
              <w:t xml:space="preserve"> </w:t>
            </w:r>
            <w:r w:rsidRPr="00C21C85">
              <w:rPr>
                <w:rFonts w:ascii="Times New Roman" w:eastAsia="Times New Roman" w:hAnsi="Times New Roman"/>
                <w:b/>
                <w:bCs/>
                <w:sz w:val="18"/>
                <w:szCs w:val="18"/>
                <w:lang w:eastAsia="ru-RU"/>
              </w:rPr>
              <w:t>анализатор</w:t>
            </w:r>
            <w:r w:rsidRPr="00C21C85">
              <w:rPr>
                <w:rFonts w:ascii="Times New Roman" w:eastAsia="Times New Roman" w:hAnsi="Times New Roman"/>
                <w:b/>
                <w:bCs/>
                <w:sz w:val="18"/>
                <w:szCs w:val="18"/>
                <w:lang w:val="en-US" w:eastAsia="ru-RU"/>
              </w:rPr>
              <w:t xml:space="preserve"> AUTIJN AE-4020 AUTION Check Strips</w:t>
            </w:r>
          </w:p>
        </w:tc>
        <w:tc>
          <w:tcPr>
            <w:tcW w:w="7088"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val="en-US"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val="en-US" w:eastAsia="ru-RU"/>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val="en-US" w:eastAsia="ru-RU"/>
              </w:rPr>
            </w:pPr>
          </w:p>
        </w:tc>
        <w:tc>
          <w:tcPr>
            <w:tcW w:w="129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val="en-US" w:eastAsia="ru-RU"/>
              </w:rPr>
            </w:pPr>
          </w:p>
        </w:tc>
        <w:tc>
          <w:tcPr>
            <w:tcW w:w="140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val="en-US" w:eastAsia="ru-RU"/>
              </w:rPr>
            </w:pPr>
          </w:p>
        </w:tc>
      </w:tr>
      <w:tr w:rsidR="00C21C85" w:rsidRPr="00C21C85" w:rsidTr="00621DEC">
        <w:trPr>
          <w:trHeight w:val="643"/>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12</w:t>
            </w:r>
          </w:p>
        </w:tc>
        <w:tc>
          <w:tcPr>
            <w:tcW w:w="3540" w:type="dxa"/>
            <w:tcBorders>
              <w:top w:val="single" w:sz="4" w:space="0" w:color="auto"/>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Тест полоски для мочевого анализатора</w:t>
            </w:r>
          </w:p>
        </w:tc>
        <w:tc>
          <w:tcPr>
            <w:tcW w:w="7088" w:type="dxa"/>
            <w:tcBorders>
              <w:top w:val="single" w:sz="4" w:space="0" w:color="auto"/>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Тест полоски для мочевого анализатора №100</w:t>
            </w:r>
          </w:p>
        </w:tc>
        <w:tc>
          <w:tcPr>
            <w:tcW w:w="85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уп</w:t>
            </w:r>
          </w:p>
        </w:tc>
        <w:tc>
          <w:tcPr>
            <w:tcW w:w="92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50</w:t>
            </w:r>
          </w:p>
        </w:tc>
        <w:tc>
          <w:tcPr>
            <w:tcW w:w="129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26 200,00</w:t>
            </w:r>
          </w:p>
        </w:tc>
        <w:tc>
          <w:tcPr>
            <w:tcW w:w="140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1 310 000,00</w:t>
            </w:r>
          </w:p>
        </w:tc>
      </w:tr>
      <w:tr w:rsidR="00C21C85" w:rsidRPr="00C21C85" w:rsidTr="00621DEC">
        <w:trPr>
          <w:trHeight w:val="987"/>
        </w:trPr>
        <w:tc>
          <w:tcPr>
            <w:tcW w:w="586"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lastRenderedPageBreak/>
              <w:t>13</w:t>
            </w:r>
          </w:p>
        </w:tc>
        <w:tc>
          <w:tcPr>
            <w:tcW w:w="3540"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Контрольная моча для мочевого анализатора</w:t>
            </w:r>
          </w:p>
        </w:tc>
        <w:tc>
          <w:tcPr>
            <w:tcW w:w="7088"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Контроль для анализатора. Одна упаковка содержит два уровня: Норма и Патология. Фасовка состоит из четырех флаконов по 25мл. Норма -белая крышка. Патология-синяя крышка. Имеется дозатор на флаконе. Температура хранения 2-8</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уп</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w:t>
            </w:r>
          </w:p>
        </w:tc>
        <w:tc>
          <w:tcPr>
            <w:tcW w:w="129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212 000,00</w:t>
            </w:r>
          </w:p>
        </w:tc>
        <w:tc>
          <w:tcPr>
            <w:tcW w:w="140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424 000,00</w:t>
            </w:r>
          </w:p>
        </w:tc>
      </w:tr>
      <w:tr w:rsidR="00C21C85" w:rsidRPr="00C21C85" w:rsidTr="00621DEC">
        <w:trPr>
          <w:trHeight w:val="1255"/>
        </w:trPr>
        <w:tc>
          <w:tcPr>
            <w:tcW w:w="586"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14</w:t>
            </w:r>
          </w:p>
        </w:tc>
        <w:tc>
          <w:tcPr>
            <w:tcW w:w="3540" w:type="dxa"/>
            <w:tcBorders>
              <w:top w:val="single" w:sz="4" w:space="0" w:color="auto"/>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Тест полоски для для определения скрытой крови в фекалях (1 уп х25шт)</w:t>
            </w:r>
          </w:p>
        </w:tc>
        <w:tc>
          <w:tcPr>
            <w:tcW w:w="7088" w:type="dxa"/>
            <w:tcBorders>
              <w:top w:val="single" w:sz="4" w:space="0" w:color="auto"/>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 реагентов тест-система иммунохроматографическая для выявления гемоглобина в образцах кала "ИХА-Скрытая кровь" предназначен для одноэтапного быстрого качественного выявления гемоглобина (скрытой крови) в образцах кала человека методом имонохроматографического анализа (ИХА) с целью первичной диагностики патологии нижних отделов желудочно-кишечного тракта.</w:t>
            </w:r>
          </w:p>
        </w:tc>
        <w:tc>
          <w:tcPr>
            <w:tcW w:w="85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уп</w:t>
            </w:r>
          </w:p>
        </w:tc>
        <w:tc>
          <w:tcPr>
            <w:tcW w:w="92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w:t>
            </w:r>
          </w:p>
        </w:tc>
        <w:tc>
          <w:tcPr>
            <w:tcW w:w="129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22 500,00</w:t>
            </w:r>
          </w:p>
        </w:tc>
        <w:tc>
          <w:tcPr>
            <w:tcW w:w="140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45 000,00</w:t>
            </w:r>
          </w:p>
        </w:tc>
      </w:tr>
      <w:tr w:rsidR="00C21C85" w:rsidRPr="00C21C85" w:rsidTr="00621DEC">
        <w:trPr>
          <w:trHeight w:val="693"/>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15</w:t>
            </w:r>
          </w:p>
        </w:tc>
        <w:tc>
          <w:tcPr>
            <w:tcW w:w="3540"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xml:space="preserve"> Набор конрольных полосок</w:t>
            </w:r>
          </w:p>
        </w:tc>
        <w:tc>
          <w:tcPr>
            <w:tcW w:w="7088"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xml:space="preserve"> Набор конрольных полосок Имеется дозатор на флаконе. Температура хранения 2-8</w:t>
            </w:r>
          </w:p>
        </w:tc>
        <w:tc>
          <w:tcPr>
            <w:tcW w:w="85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уп</w:t>
            </w:r>
          </w:p>
        </w:tc>
        <w:tc>
          <w:tcPr>
            <w:tcW w:w="92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4</w:t>
            </w:r>
          </w:p>
        </w:tc>
        <w:tc>
          <w:tcPr>
            <w:tcW w:w="129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22 000,00</w:t>
            </w:r>
          </w:p>
        </w:tc>
        <w:tc>
          <w:tcPr>
            <w:tcW w:w="140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88 000,00</w:t>
            </w:r>
          </w:p>
        </w:tc>
      </w:tr>
      <w:tr w:rsidR="00C21C85" w:rsidRPr="00C21C85" w:rsidTr="00621DEC">
        <w:trPr>
          <w:trHeight w:val="561"/>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w:t>
            </w:r>
          </w:p>
        </w:tc>
        <w:tc>
          <w:tcPr>
            <w:tcW w:w="3540"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b/>
                <w:bCs/>
                <w:sz w:val="18"/>
                <w:szCs w:val="18"/>
                <w:lang w:eastAsia="ru-RU"/>
              </w:rPr>
            </w:pPr>
            <w:r w:rsidRPr="00C21C85">
              <w:rPr>
                <w:rFonts w:ascii="Times New Roman" w:eastAsia="Times New Roman" w:hAnsi="Times New Roman"/>
                <w:b/>
                <w:bCs/>
                <w:sz w:val="18"/>
                <w:szCs w:val="18"/>
                <w:lang w:eastAsia="ru-RU"/>
              </w:rPr>
              <w:t>На Биохимический анализатор DIRUI -240</w:t>
            </w:r>
          </w:p>
        </w:tc>
        <w:tc>
          <w:tcPr>
            <w:tcW w:w="7088"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w:t>
            </w:r>
          </w:p>
        </w:tc>
        <w:tc>
          <w:tcPr>
            <w:tcW w:w="92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w:t>
            </w:r>
          </w:p>
        </w:tc>
        <w:tc>
          <w:tcPr>
            <w:tcW w:w="129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w:t>
            </w:r>
          </w:p>
        </w:tc>
      </w:tr>
      <w:tr w:rsidR="00C21C85" w:rsidRPr="00C21C85" w:rsidTr="00621DEC">
        <w:trPr>
          <w:trHeight w:val="5239"/>
        </w:trPr>
        <w:tc>
          <w:tcPr>
            <w:tcW w:w="586"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16</w:t>
            </w:r>
          </w:p>
        </w:tc>
        <w:tc>
          <w:tcPr>
            <w:tcW w:w="3540"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Реагент для определения АЛТ</w:t>
            </w:r>
          </w:p>
        </w:tc>
        <w:tc>
          <w:tcPr>
            <w:tcW w:w="7088"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Реагент применяется для количественного измерения и диагностического определения в условиях in vitro активности аланинаминотрансферазы (АЛТ) в сыворотке или плазме крови на биохимическом анализаторе CS-T240. Принцип реакции данного реагента соответствует методу, рекомендованному Международной Федерацией Клинической Химии (IFCC). В присутствии АЛТ L-аланин вступает в реакцию с α-кетоглутаратом, в результате чего образуется пируват и L-глутамат. Пируват восстанавливается до L-лактата при помощи ЛДГ, присутствующей в реагенте, а тем временем НАДН окисляется до НАД, что позволяет снизить значение абсорбции до 340 нм. Активность АЛТ можно проверить за счет измерения скорости снижения абсорбции при 340нм. Эндогенетический пируват образца восстанавливается ЛДГ во время периода задержки реакции, таким образом, чтобы он не создавал помех для теста .Компоненты: Реагент 1 - Аланин 600 ммоль/л; ЛДГ &gt;1820ЕД/Л; Трис Буфер 80 ммоль/л. Реагент 2 - Трис Буфер 80 ммоль/л; НАДН &gt;0.75 ммоль/л; α- кетоглутарат 36 ммоль/л. Содержит нереакционный материал и стабилизатор. Продолжительность теста 60-120 секунд. Фасовка Rl 4х50 мл R2 lx50 мл. Количество тестов в упаковке не менее 587.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30</w:t>
            </w:r>
          </w:p>
        </w:tc>
        <w:tc>
          <w:tcPr>
            <w:tcW w:w="129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17 520,00</w:t>
            </w:r>
          </w:p>
        </w:tc>
        <w:tc>
          <w:tcPr>
            <w:tcW w:w="140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525 600,00</w:t>
            </w:r>
          </w:p>
        </w:tc>
      </w:tr>
      <w:tr w:rsidR="00C21C85" w:rsidRPr="00C21C85" w:rsidTr="00621DEC">
        <w:trPr>
          <w:trHeight w:val="5381"/>
        </w:trPr>
        <w:tc>
          <w:tcPr>
            <w:tcW w:w="586"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lastRenderedPageBreak/>
              <w:t>17</w:t>
            </w:r>
          </w:p>
        </w:tc>
        <w:tc>
          <w:tcPr>
            <w:tcW w:w="3540" w:type="dxa"/>
            <w:tcBorders>
              <w:top w:val="single" w:sz="4" w:space="0" w:color="auto"/>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Реагент для определения АСТ</w:t>
            </w:r>
          </w:p>
        </w:tc>
        <w:tc>
          <w:tcPr>
            <w:tcW w:w="7088" w:type="dxa"/>
            <w:tcBorders>
              <w:top w:val="single" w:sz="4" w:space="0" w:color="auto"/>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Реагент применяется для количественного измерения и диагностического определения в условиях in vitro активности аспартатаминотрансферазы (АСТ) в сыворотке или плазме крови на биохимическом анализаторе CS-T240. Принцип реакции данного реагента соответствует методу, рекомендованному Международной Федерацией Клинической Химии (IFCC). Аспартатаминотрансфераза (АСТ) в образце катализирует L-аспартат aминo-,что приводит к преобразованию α-кетоглутарата в эфир уксусной кислоты и L-глутамат. Эфир уксусной кислоты восстанавливается малатдегидрогеназой в реагенте до L-яблочной кислоты. В это время НАДН окисляется до НАД, так что значение абсорбции света при 340 нм снижается. При контроле скорости снижения значения абсорбции при 340 нм, измеряют активность аспартата аминотрансферазы (АСТ). Помехи эндогенного пирувата могут быть удалены быстро и полностью во время запаздывания. Компоненты: Реагент 1 - Лактат дегидрогеназа &gt;1365 ЕД/Л; L-аспартат 300 ммоль/л; Трис Буфер &gt;80 ммоль/л; ЭДТА 5.0 ммоль/л Трис Буфер &gt;80 ммоль/л.  Реагент 2 - Малат дегидрогеназа &gt;1635 ЕД/Л; α-кетоглутарат 36 ммоль/л; НАДН &gt;0.75ммоль/л; Трис Буфер &gt;80 ммоль/л; ЭДТА 5.0 ммоль/л.Содержит нереакционный материал и стабилизатор. Продолжительность теста 120~180 секунд. Линейный диапазон настоящего регента составляет 3 ~ 1000 ЕД/Л. Фасовка R1 4×50 мл R2 1х50 мл. Количество тестов в упаковке не менее 587.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w:t>
            </w:r>
          </w:p>
        </w:tc>
        <w:tc>
          <w:tcPr>
            <w:tcW w:w="85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30</w:t>
            </w:r>
          </w:p>
        </w:tc>
        <w:tc>
          <w:tcPr>
            <w:tcW w:w="129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17 520,00</w:t>
            </w:r>
          </w:p>
        </w:tc>
        <w:tc>
          <w:tcPr>
            <w:tcW w:w="140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525 600,00</w:t>
            </w:r>
          </w:p>
        </w:tc>
      </w:tr>
      <w:tr w:rsidR="00C21C85" w:rsidRPr="00C21C85" w:rsidTr="00621DEC">
        <w:trPr>
          <w:trHeight w:val="4105"/>
        </w:trPr>
        <w:tc>
          <w:tcPr>
            <w:tcW w:w="586"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18</w:t>
            </w:r>
          </w:p>
        </w:tc>
        <w:tc>
          <w:tcPr>
            <w:tcW w:w="3540"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Щелочная фосфатаза</w:t>
            </w:r>
          </w:p>
        </w:tc>
        <w:tc>
          <w:tcPr>
            <w:tcW w:w="7088"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xml:space="preserve">Реагент применяется для количественного </w:t>
            </w:r>
            <w:r w:rsidRPr="00C21C85">
              <w:rPr>
                <w:rFonts w:ascii="Times New Roman" w:eastAsia="Times New Roman" w:hAnsi="Times New Roman"/>
                <w:sz w:val="18"/>
                <w:szCs w:val="18"/>
                <w:lang w:eastAsia="ru-RU"/>
              </w:rPr>
              <w:br w:type="page"/>
              <w:t>измерения в условиях in vitro активности щелочной фосфатазы в сыворотке или плазме крови человека на биохимическом анализаторе CS-T240. ЩФ в образце катализирует гидролиз RNPP для формирования P-нитрофенолата и фосфатной кислоты, что вызывает повышение значения абсорбции света при 405нм. Активность щелочного фосфата образца рассчитывается при измерении скорости повышения абсорбционной способности при 405нм. Компоненты: Реагент 1 - Магния ацетат 3.0 ммоль/л; Цинка сульфат 1.5 ммоль/л; ХЭДТА 3.0 ммоль/л; Буфер AMP 420 ммоль/л. Реагент 2 - p-нитробензол фосфатная кислота 81.5 ммоль/л; Буфер AMP 420 ммоль/л. Содержит нереактивный заполнитель и стабилизатор.  Линейный диапазон настоящего реагента – 0~850 ед/л.. Продолжительность теста 60~120 секунд. Фасовка R1 4×50 мл R2  1х50 мл. Количество тестов в упаковке не менее 671.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5</w:t>
            </w:r>
          </w:p>
        </w:tc>
        <w:tc>
          <w:tcPr>
            <w:tcW w:w="129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17 520,00</w:t>
            </w:r>
          </w:p>
        </w:tc>
        <w:tc>
          <w:tcPr>
            <w:tcW w:w="140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87 600,00</w:t>
            </w:r>
          </w:p>
        </w:tc>
      </w:tr>
      <w:tr w:rsidR="00C21C85" w:rsidRPr="00C21C85" w:rsidTr="00621DEC">
        <w:trPr>
          <w:trHeight w:val="4105"/>
        </w:trPr>
        <w:tc>
          <w:tcPr>
            <w:tcW w:w="586"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lastRenderedPageBreak/>
              <w:t>19</w:t>
            </w:r>
          </w:p>
        </w:tc>
        <w:tc>
          <w:tcPr>
            <w:tcW w:w="3540" w:type="dxa"/>
            <w:tcBorders>
              <w:top w:val="single" w:sz="4" w:space="0" w:color="auto"/>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Гамма-Глутамилттранспептид GGT</w:t>
            </w:r>
          </w:p>
        </w:tc>
        <w:tc>
          <w:tcPr>
            <w:tcW w:w="7088" w:type="dxa"/>
            <w:tcBorders>
              <w:top w:val="single" w:sz="4" w:space="0" w:color="auto"/>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Реагент применяется для количественного измерения в условиях in vitro активности γ-ГТ в сыворотке и плазме крови человека на биохимическом анализаторе CS-T240. Настоящий реагент включает растворимый субстрат Glucana, рекомендованный МФКХ. Глутамил из γ-ГТ каталитического субстрата перемещается в глицилглицин, в результате чего образуется глутамил глицилглицин и 5-амино-2-нитрофенил формат. Компоненты: Реагент 1- Трис Буфер 100 ммоль/л; Натрия хлорид 5 ммоль/л; Глицилглицин 125 ммоль/л. Реагент 2- Трис Буфер 100 ммоль/л; L-γ- глутамил -3-карбокси-4-нитроанилин 14.5 ммоль/л. Содержит нереакционный материал и стабилизатор. Продолжительность теста 60~120 секунд. Линейный диапазон настоящего реагента – 0~450 ед/л (7,5 мккат/л). Фасовка R1  4×50 мл R2  1х 50 мл. Количество тестов в упаковке не менее 671.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w:t>
            </w:r>
          </w:p>
        </w:tc>
        <w:tc>
          <w:tcPr>
            <w:tcW w:w="85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8</w:t>
            </w:r>
          </w:p>
        </w:tc>
        <w:tc>
          <w:tcPr>
            <w:tcW w:w="129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36 840,00</w:t>
            </w:r>
          </w:p>
        </w:tc>
        <w:tc>
          <w:tcPr>
            <w:tcW w:w="140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294 720,00</w:t>
            </w:r>
          </w:p>
        </w:tc>
      </w:tr>
      <w:tr w:rsidR="00C21C85" w:rsidRPr="00C21C85" w:rsidTr="00621DEC">
        <w:trPr>
          <w:trHeight w:val="5665"/>
        </w:trPr>
        <w:tc>
          <w:tcPr>
            <w:tcW w:w="586"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20</w:t>
            </w:r>
          </w:p>
        </w:tc>
        <w:tc>
          <w:tcPr>
            <w:tcW w:w="3540"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Реагент для определения общего холестерина</w:t>
            </w:r>
          </w:p>
        </w:tc>
        <w:tc>
          <w:tcPr>
            <w:tcW w:w="7088"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Реагент применяется для количественного измерения в условиях in vitro концентрации общего холестерина в сыворотке или плазме человека на биохимическом анализаторе CS-T240. Холестериновый эфир в образце под воздействием липопртеинэстеразы в реагенте селективно катализируется и гидролизуется в холестерин и свободную жирную кислоту. Образующийся в результате общий холестерин, окисляемый оксидазой холестерина, формирует холест-4-ен-3-ен-3-кетон и пероксид водорода. Под воздействием пероксидазы периоксид водорода вступает в реакцию с гидроксибензойной кислотой и 4-амино-антипирином с образованием H2O и хинониминового пигмента. При этом объем образующегося хинониминового пигмента пропорционален содержанию общего холестерина в образце. Поэтому измерение образуемого объема пигмента на определенной длине волны позволяет рассчитать концентрацию общего холестерина. Компоненты: Реагент 1- Липопротеинлипаза &gt; 300 ЕД/Л; Пероксидаза &gt; 750 ЕД/Л; p-гидроксибензойная кислота 45 ммоль/л; Тритон X-100 0.3%; Буфер 50 ммоль/л. Реагент 2 - 4аминоантипирн 0.3 ммоль/л; Холестериноксидаза &gt; 300 ЕД/Л; Буфер 50 ммоль/л. Содержит нереактивный заполнитель и стабилизатор.  Продолжительность реакции 5~10 минут. Линейный диапазон настоящего реагента – 0-20 ммоль/л (774 мг/дл).Фасовка R1 4×50 мл R2 1х50 мл.  Количество тестов в упаковке не менее 587.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w:t>
            </w:r>
          </w:p>
        </w:tc>
        <w:tc>
          <w:tcPr>
            <w:tcW w:w="129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42 120,00</w:t>
            </w:r>
          </w:p>
        </w:tc>
        <w:tc>
          <w:tcPr>
            <w:tcW w:w="140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84 240,00</w:t>
            </w:r>
          </w:p>
        </w:tc>
      </w:tr>
      <w:tr w:rsidR="00C21C85" w:rsidRPr="00C21C85" w:rsidTr="00621DEC">
        <w:trPr>
          <w:trHeight w:val="5098"/>
        </w:trPr>
        <w:tc>
          <w:tcPr>
            <w:tcW w:w="586"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lastRenderedPageBreak/>
              <w:t>21</w:t>
            </w:r>
          </w:p>
        </w:tc>
        <w:tc>
          <w:tcPr>
            <w:tcW w:w="3540"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Реагент для определения общего белка</w:t>
            </w:r>
          </w:p>
        </w:tc>
        <w:tc>
          <w:tcPr>
            <w:tcW w:w="7088"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Реагент применяется для количественного измерения в условиях invitro концентрации общего белка в сыворотке или плазме крови человека на биохимическом анализаторе CS-T240.  В настоящем реагенте используется метод биуретовой реакции, т.е.при реакции между пептидной связью молекулы белка и ионом меди образуется сине-пурпурный комплекс в щелочном растворе. Каждый ион меди образует комплекс с 5-6 пептидной связью. Добавление йодида в реагент может предотвратить автоматическую реверсию соединения меди. Сине-пурпурный пигмент находится в прямой пропорции к концентрации общего белка, которую можно рассчитать за счет измерения изменений абсорбции при 520~560нм. При использовании двухлучевого анализа длина волны холостого раствора должна быть установлена на 600~700нм. Компоненты: Сульфат меди 12 ммоль/л; Виннокислый калий-натрий 64 ммоль/л; Калия йодид 6 ммоль/л; Натрия гидроксид 200 ммоль/л. Обмен компонентов из различных партий реагентов запрещается. Продолжительность реакции 300 секунд. Линейный диапазон настоящего реагента – 0-150 г/л; Фасовка R 5×50 мл. Количество тестов в упаковке не менее 870.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25</w:t>
            </w:r>
          </w:p>
        </w:tc>
        <w:tc>
          <w:tcPr>
            <w:tcW w:w="129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12 360,00</w:t>
            </w:r>
          </w:p>
        </w:tc>
        <w:tc>
          <w:tcPr>
            <w:tcW w:w="140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309 000,00</w:t>
            </w:r>
          </w:p>
        </w:tc>
      </w:tr>
      <w:tr w:rsidR="00C21C85" w:rsidRPr="00C21C85" w:rsidTr="00621DEC">
        <w:trPr>
          <w:trHeight w:val="4956"/>
        </w:trPr>
        <w:tc>
          <w:tcPr>
            <w:tcW w:w="586"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lastRenderedPageBreak/>
              <w:t>22</w:t>
            </w:r>
          </w:p>
        </w:tc>
        <w:tc>
          <w:tcPr>
            <w:tcW w:w="3540" w:type="dxa"/>
            <w:tcBorders>
              <w:top w:val="single" w:sz="4" w:space="0" w:color="auto"/>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Реагент для определения общего билирубина</w:t>
            </w:r>
          </w:p>
        </w:tc>
        <w:tc>
          <w:tcPr>
            <w:tcW w:w="7088" w:type="dxa"/>
            <w:tcBorders>
              <w:top w:val="single" w:sz="4" w:space="0" w:color="auto"/>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Реагент применяется для количественного измерения в условиях in vitro концентрации общего билирубина в сыворотке или плазме крови человека на биохимическом анализаторе CS-T240. В реагенте используется ПАВ в качестве растворителя. Связанный билирубин и несвязанный билирубин, которые были растворены, вступают в реакцию с диазо-сульфаниловой кислотой, в результате чего образуетсяазо-билирубин. Повышение абсорбции света при длине волны 570нм пропорционально концентрации общего билирубина. Концентрация общего билирубина в образце может быть рассчитана за счет проверки изменения абсорбции на длине волны 570 нм. При анализе двойного луча длина волны холостого образца должна быть настроена наt 750нм. Компоненты: Реагент 1 - Соляная кислота 100 ммоль/л; сульфаниловая кислота 5 ммоль/л. Реагент 2- Нитрит натрия 72 ммоль/л. Обмен компонентов из различных партий реагентов запрещается.Продолжительность реакции 300-600 секунд. Линейный диапазон настоящего реагента – 0~300 мкмоль/л. Фасовка R1  5×50 мл R2 1х 5 мл. Количество тестов в упаковке не менее 1068.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w:t>
            </w:r>
          </w:p>
        </w:tc>
        <w:tc>
          <w:tcPr>
            <w:tcW w:w="85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25</w:t>
            </w:r>
          </w:p>
        </w:tc>
        <w:tc>
          <w:tcPr>
            <w:tcW w:w="129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24 120,00</w:t>
            </w:r>
          </w:p>
        </w:tc>
        <w:tc>
          <w:tcPr>
            <w:tcW w:w="140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603 000,00</w:t>
            </w:r>
          </w:p>
        </w:tc>
      </w:tr>
      <w:tr w:rsidR="00C21C85" w:rsidRPr="00C21C85" w:rsidTr="00D17A55">
        <w:trPr>
          <w:trHeight w:val="4695"/>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23</w:t>
            </w:r>
          </w:p>
        </w:tc>
        <w:tc>
          <w:tcPr>
            <w:tcW w:w="3540"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Реагент для определения прямого билирубина</w:t>
            </w:r>
          </w:p>
        </w:tc>
        <w:tc>
          <w:tcPr>
            <w:tcW w:w="7088"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Реагент применяется для количественного измерения в условиях in vitro</w:t>
            </w:r>
            <w:r w:rsidRPr="00C21C85">
              <w:rPr>
                <w:rFonts w:ascii="Times New Roman" w:eastAsia="Times New Roman" w:hAnsi="Times New Roman"/>
                <w:sz w:val="18"/>
                <w:szCs w:val="18"/>
                <w:lang w:eastAsia="ru-RU"/>
              </w:rPr>
              <w:br/>
              <w:t xml:space="preserve"> концентрации прямого билирубина в сыворотке или плазме крови человека на биохимическом анализаторе CS-T240  Прямой билирубин получают при реакции билирубина и соли диазония с аминобензол сульфониевой кислотой в гиперщелочных и гиперкислых растворах, в результате чего образуется окрашенный азо-билирубин. Повышение абсорбции света при длине волны 570нм пропорционально концентрации прямого билирубина. Концентрация прямого билирубина в образце может быть рассчитана за счет проверки изменения абсорбции на длине волны 570 нм. Компоненты Реагент 1 -  Соляная кислота 165 ммоль/л; Метаниловая кислота 29 ммоль/л. Реагент 2- Нитрит натрия 72 ммоль/л.  Линейный диапазон настоящего реагента – 0~300 мкмоль/л. Фасовка R1 5×50 мл R2 1х3 мл. Количество тестов в упаковке не менее 1068.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w:t>
            </w:r>
          </w:p>
        </w:tc>
        <w:tc>
          <w:tcPr>
            <w:tcW w:w="85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20</w:t>
            </w:r>
          </w:p>
        </w:tc>
        <w:tc>
          <w:tcPr>
            <w:tcW w:w="129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24 120,00</w:t>
            </w:r>
          </w:p>
        </w:tc>
        <w:tc>
          <w:tcPr>
            <w:tcW w:w="140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482 400,00</w:t>
            </w:r>
          </w:p>
        </w:tc>
      </w:tr>
      <w:tr w:rsidR="00C21C85" w:rsidRPr="00C21C85" w:rsidTr="00D17A55">
        <w:trPr>
          <w:trHeight w:val="4860"/>
        </w:trPr>
        <w:tc>
          <w:tcPr>
            <w:tcW w:w="586"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lastRenderedPageBreak/>
              <w:t>24</w:t>
            </w:r>
          </w:p>
        </w:tc>
        <w:tc>
          <w:tcPr>
            <w:tcW w:w="3540"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Реагент для определения глюкозы</w:t>
            </w:r>
          </w:p>
        </w:tc>
        <w:tc>
          <w:tcPr>
            <w:tcW w:w="7088"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Реагент применяется для количественного определения в условиях in vitro концентрации глюкозы, содержащейся в сыворотке, плазме крови или моче на биохимическом анализаторе CS-T240. Глюкоза в образце при активации гексокиназой (HK) и глюкозой - 6 – фосфат дегидрогеназой (G6PDH), вступает в реакцию с ATP, в результате чего образуется глюкоза - 6 – фосфат и аденозин дифосфат. Глюкоза - 6 – фосфорная кислота окисляется в 6 –фосфат глюкозу в жирах, а в это время NAD в реагенте восстанавливается до NADH, вызывая повышения значения абсорбции света при 340 нм. Значении NADH пропорционально количеству глюкозу. Расчет концентрации глюкозы осуществляется за счет измерения изменения значения абсорбции при 340 нм. Компоненты: Реагент 1 -Трифосаденин 1.30 ммоль/л; Гексокиназа &gt;1500 ед/л; G-6-PDH &gt;2500 ед/л; Буфер 50 ммоль/л. Реагент 2- NADH 0.65 ммоль/л; Буфер 50 ммоль/л. Содержит нереакционный материал и стабилизатор. Длительность теста 300~600 секунд . Линейный диапазон составляет 0-40 мкмоль на л (720мг/дл). Фасовка R1 4×50мл R2 1х 50мл. Количество тестов в упаковке не менее 587.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30</w:t>
            </w:r>
          </w:p>
        </w:tc>
        <w:tc>
          <w:tcPr>
            <w:tcW w:w="129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14 040,00</w:t>
            </w:r>
          </w:p>
        </w:tc>
        <w:tc>
          <w:tcPr>
            <w:tcW w:w="140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421 200,00</w:t>
            </w:r>
          </w:p>
        </w:tc>
      </w:tr>
      <w:tr w:rsidR="00C21C85" w:rsidRPr="00C21C85" w:rsidTr="00D17A55">
        <w:trPr>
          <w:trHeight w:val="4956"/>
        </w:trPr>
        <w:tc>
          <w:tcPr>
            <w:tcW w:w="586"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25</w:t>
            </w:r>
          </w:p>
        </w:tc>
        <w:tc>
          <w:tcPr>
            <w:tcW w:w="3540"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Реагент для определения мочевины</w:t>
            </w:r>
          </w:p>
        </w:tc>
        <w:tc>
          <w:tcPr>
            <w:tcW w:w="7088"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Реагент применяется для количественного измерения в условиях invitro концентрации мочевины в сыворотке крови, плазме или моче на биохимическом анализаторе CS-T240.  Мочевина в образце, катализированная уреазой в реагенте, вступает в реакцию с водой, в результате чего образуется аммиак и диоксид углерода. Аммиак и α-кетоглутаровая кислота в реагенте при катализе глутамата дегидрогеназы (ГЛДГ) образуют глутамовую кислоту, при этом NADH окисляется до NAD . Таким образом, абсорбция света на 340 нм снижается. Контроль уровня снижения абсорбции света при 340 нм позволяет рассчитать концентрацию мочевины в образце. Компоненты: Реагент 1- α-кетоглутаровая кислота 7.5 ммоль/л; Глутамат дегидрогеназа &gt;800 ЕД/Л; NADH 0.35 ммоль/л; Аденозин дифосфат 1.5 ммоль/л; Трис буфер 115 ммоль/л. Реагент 2 - Трис Буфер 115 ммоль/л; Уреаза &gt; 40000 ЕД/Л; α-кетоглутаровая кислота 7.5 ммоль/л. Содержит нереакционный материал и стабилизатор. Продолжительность теста 60 секунд. Линейный диапазон настоящего реагента – 0-35 ммоль/л (азот мочевины 98 мг/дл). Фасовка R1 4×50 мл R2 1х 50 мл. Количество тестов в упаковке не менее 587.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35</w:t>
            </w:r>
          </w:p>
        </w:tc>
        <w:tc>
          <w:tcPr>
            <w:tcW w:w="129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33 360,00</w:t>
            </w:r>
          </w:p>
        </w:tc>
        <w:tc>
          <w:tcPr>
            <w:tcW w:w="140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1 167 600,00</w:t>
            </w:r>
          </w:p>
        </w:tc>
      </w:tr>
      <w:tr w:rsidR="00C21C85" w:rsidRPr="00C21C85" w:rsidTr="00D17A55">
        <w:trPr>
          <w:trHeight w:val="5665"/>
        </w:trPr>
        <w:tc>
          <w:tcPr>
            <w:tcW w:w="586"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lastRenderedPageBreak/>
              <w:t>26</w:t>
            </w:r>
          </w:p>
        </w:tc>
        <w:tc>
          <w:tcPr>
            <w:tcW w:w="3540" w:type="dxa"/>
            <w:tcBorders>
              <w:top w:val="single" w:sz="4" w:space="0" w:color="auto"/>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Реагент для определения креатинина CREENZYME</w:t>
            </w:r>
          </w:p>
        </w:tc>
        <w:tc>
          <w:tcPr>
            <w:tcW w:w="7088" w:type="dxa"/>
            <w:tcBorders>
              <w:top w:val="single" w:sz="4" w:space="0" w:color="auto"/>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Реагент применяется для количественного измерения в условиях invitro концентрации креатинина в сыворотке, плазме крови или моче на биохимическом анализаторе CS-T240.  Креатин может образовываться при гидролизации амидо с гидролазой в образце. Креатин может быть гидролизован под действием креатин амидин гидролазы и образовывать мочевину и саркозин. Под воздействием оксидазы саркозина креатинин может образовывать глицин и пероксид водорода, который вступает в реакцию с 4 – аминоантипирином и хромогеновыми соединениями под воздействием пероксидазы, и образует пигмент хинонимин. Впоследствии содержание креатинина в образце может быть рассчитано посредством контроля</w:t>
            </w:r>
            <w:r w:rsidRPr="00C21C85">
              <w:rPr>
                <w:rFonts w:ascii="Times New Roman" w:eastAsia="Times New Roman" w:hAnsi="Times New Roman"/>
                <w:sz w:val="18"/>
                <w:szCs w:val="18"/>
                <w:lang w:eastAsia="ru-RU"/>
              </w:rPr>
              <w:br w:type="page"/>
              <w:t>образованного объема пигмента хинонимина на определенной точке длины волны. Реагент включает следующие компоненты и механизм, который исключает помехи для расчета креатина в образце в соответствии с принципами реакции. Компоненты: Реагент 1- Трис буфер 100 ммоль/л; N-этил-N-сульфо-гидроксипропил-интер-толуидин 2 ммоль/л; KCl 20 ммоль/л; Креатинин амидо гидролаза 400 KЕД/Л; Саркозин оксидаза 8 KЕД/Л; HRP 700 ЕД/Л. Реагент 2 - Трис буфер 100 ммоль/л. Магния ацетат 2 ммоль/л; 4 - аминоантипирин 1.2 ммоль/л; Креатин гидролаза амидин 40 KЕд/Л. Содержит стабилизатор. Время теста 300 секунд. Линейный диапазон настоящего реагента составляет 0 ~ 2500 мкмоль/л; Фасовка R1 4×50 мл R2 1х 50 мл   Количество тестов в упаковке не менее 587.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w:t>
            </w:r>
          </w:p>
        </w:tc>
        <w:tc>
          <w:tcPr>
            <w:tcW w:w="85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25</w:t>
            </w:r>
          </w:p>
        </w:tc>
        <w:tc>
          <w:tcPr>
            <w:tcW w:w="129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60 000,00</w:t>
            </w:r>
          </w:p>
        </w:tc>
        <w:tc>
          <w:tcPr>
            <w:tcW w:w="140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1 500 000,00</w:t>
            </w:r>
          </w:p>
        </w:tc>
      </w:tr>
      <w:tr w:rsidR="00C21C85" w:rsidRPr="00C21C85" w:rsidTr="00621DEC">
        <w:trPr>
          <w:trHeight w:val="840"/>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27</w:t>
            </w:r>
          </w:p>
        </w:tc>
        <w:tc>
          <w:tcPr>
            <w:tcW w:w="3540"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Срб Латекс-Витал</w:t>
            </w:r>
          </w:p>
        </w:tc>
        <w:tc>
          <w:tcPr>
            <w:tcW w:w="7088"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Срб Латекс-Витал</w:t>
            </w:r>
          </w:p>
        </w:tc>
        <w:tc>
          <w:tcPr>
            <w:tcW w:w="85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10</w:t>
            </w:r>
          </w:p>
        </w:tc>
        <w:tc>
          <w:tcPr>
            <w:tcW w:w="129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20 432,00</w:t>
            </w:r>
          </w:p>
        </w:tc>
        <w:tc>
          <w:tcPr>
            <w:tcW w:w="140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204 320,00</w:t>
            </w:r>
          </w:p>
        </w:tc>
      </w:tr>
      <w:tr w:rsidR="00C21C85" w:rsidRPr="00C21C85" w:rsidTr="00621DEC">
        <w:trPr>
          <w:trHeight w:val="6255"/>
        </w:trPr>
        <w:tc>
          <w:tcPr>
            <w:tcW w:w="586"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lastRenderedPageBreak/>
              <w:t>28</w:t>
            </w:r>
          </w:p>
        </w:tc>
        <w:tc>
          <w:tcPr>
            <w:tcW w:w="3540"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Альбумин</w:t>
            </w:r>
          </w:p>
        </w:tc>
        <w:tc>
          <w:tcPr>
            <w:tcW w:w="7088"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Реагент применяется для</w:t>
            </w:r>
            <w:r w:rsidRPr="00C21C85">
              <w:rPr>
                <w:rFonts w:ascii="Times New Roman" w:eastAsia="Times New Roman" w:hAnsi="Times New Roman"/>
                <w:sz w:val="18"/>
                <w:szCs w:val="18"/>
                <w:lang w:eastAsia="ru-RU"/>
              </w:rPr>
              <w:br/>
              <w:t xml:space="preserve"> количественного измерения в условиях in vitro концентрации альбумина в сыворотке или плазме крови человека на биохимическом анализаторе CS-T240.  Используемый метод анализа альбумина в сыворотке крови – это метод связывания красителя лизина (DBL). Технология DBL основывается на переносе крупнейшего пика абсорбции при связывании красителя с альбумином. Перенос пика абсорбции позволяет измерить образующийся цвет в обстоятельствах существования чрезмерного окрашивания. Точность обеспечивается за счет наличия совместной способности между красителем и альбумином, что полностью интегрирует альбумин в реакцию. Использование бромкрезолового зеленого и альбумина при pH4.0~4.2 вызывает образование зеленовато-синей комбинации, которая находится в прямой зависимости от концентрации альбумина в образце. Концентрация альбумина может быть рассчитана при измерении значения абсорбции при 580-630 нм. При использовании двойного луча света длина холостой волны может быть установлена на 600~700нм. Компоненты: Бромгексоловый зеленый 0.35 ммоль/л; Буфер янтарной кислоты 50 ммоль/л; Натрия азид 7.7 ммоль/л; Brij-35 1%.  Продолжительность реакции 300 сек. Линейный диапазон настоящего реагента составляет 0-60 г/л(6 г/дл). Фасовка R: 5×50 мл. Количество тестов в упаковке не менее 734.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10</w:t>
            </w:r>
          </w:p>
        </w:tc>
        <w:tc>
          <w:tcPr>
            <w:tcW w:w="129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10 560,00</w:t>
            </w:r>
          </w:p>
        </w:tc>
        <w:tc>
          <w:tcPr>
            <w:tcW w:w="140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105 600,00</w:t>
            </w:r>
          </w:p>
        </w:tc>
      </w:tr>
      <w:tr w:rsidR="00C21C85" w:rsidRPr="00C21C85" w:rsidTr="00D17A55">
        <w:trPr>
          <w:trHeight w:val="3963"/>
        </w:trPr>
        <w:tc>
          <w:tcPr>
            <w:tcW w:w="586"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lastRenderedPageBreak/>
              <w:t>29</w:t>
            </w:r>
          </w:p>
        </w:tc>
        <w:tc>
          <w:tcPr>
            <w:tcW w:w="3540" w:type="dxa"/>
            <w:tcBorders>
              <w:top w:val="single" w:sz="4" w:space="0" w:color="auto"/>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Реагент для определения лактата</w:t>
            </w:r>
          </w:p>
        </w:tc>
        <w:tc>
          <w:tcPr>
            <w:tcW w:w="7088" w:type="dxa"/>
            <w:tcBorders>
              <w:top w:val="single" w:sz="4" w:space="0" w:color="auto"/>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Реагент применяется для количественного измерения в условиях in vitro Лактатдегидрогеназа</w:t>
            </w:r>
            <w:r w:rsidRPr="00C21C85">
              <w:rPr>
                <w:rFonts w:ascii="Times New Roman" w:eastAsia="Times New Roman" w:hAnsi="Times New Roman"/>
                <w:sz w:val="18"/>
                <w:szCs w:val="18"/>
                <w:lang w:eastAsia="ru-RU"/>
              </w:rPr>
              <w:br w:type="page"/>
              <w:t xml:space="preserve"> в сыворотке или плазме крови человека на биохимическом анализаторе CS-T240. Кинетический, УФ, рекомендуемый DGKC; λ=340 нм, Hg 365 нм, Hg 334 нм; Состав: R1 (Фосфатный буфер – 50 ммоль/л (рН 7,5), пируват – 0,6 ммоль/л); R2 (Good’s буфер (рН 9,6), НАДН – 0,18 ммоль/л); Линейность от 5 до 1200 Е/л; Стабильность: Жидкий, Готовый, R1 и R2 стабильны в течение срока, указанного на этикетке, при температуре от +2°С до +8°С; Рабочий реагент стабилен в течение 5 дней при температуре от +2°С до +8°С; Флаконы снабжены штрих - кодом, содержащим информацию о типе реагента, номере лота, сроке годности. Штрих-код может непосредственно использоваться в автоматических биохимических анализаторах.Фасовка R1 4×50 мл. R2 2×20 мл.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w:t>
            </w:r>
          </w:p>
        </w:tc>
        <w:tc>
          <w:tcPr>
            <w:tcW w:w="85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8</w:t>
            </w:r>
          </w:p>
        </w:tc>
        <w:tc>
          <w:tcPr>
            <w:tcW w:w="129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45 720,00</w:t>
            </w:r>
          </w:p>
        </w:tc>
        <w:tc>
          <w:tcPr>
            <w:tcW w:w="140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365 760,00</w:t>
            </w:r>
          </w:p>
        </w:tc>
      </w:tr>
      <w:tr w:rsidR="00C21C85" w:rsidRPr="00C21C85" w:rsidTr="00621DEC">
        <w:trPr>
          <w:trHeight w:val="4247"/>
        </w:trPr>
        <w:tc>
          <w:tcPr>
            <w:tcW w:w="586"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30</w:t>
            </w:r>
          </w:p>
        </w:tc>
        <w:tc>
          <w:tcPr>
            <w:tcW w:w="3540"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Амилаза №1068</w:t>
            </w:r>
          </w:p>
        </w:tc>
        <w:tc>
          <w:tcPr>
            <w:tcW w:w="7088"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xml:space="preserve">Реагент применяется для лабораторного квантитативного определения активности ɑ-амилаза в сыворотке крови человека или моче на биохимическом анализаторе CS-T240. Данный реагент действует методу, рекомендованному Международной федерацией клинической химии (IFCC), этилен-pNP-G7 (E-pNP-G7) принимается в качестве субстрата для предотвращения разложения эктоэнзима.  Компоненты:  Реагент 1- Глюкозидаза </w:t>
            </w:r>
            <w:r w:rsidRPr="00C21C85">
              <w:rPr>
                <w:rFonts w:ascii="Times New Roman" w:eastAsia="MS Mincho" w:hAnsi="MS Mincho"/>
                <w:sz w:val="18"/>
                <w:szCs w:val="18"/>
                <w:lang w:eastAsia="ru-RU"/>
              </w:rPr>
              <w:t>＞</w:t>
            </w:r>
            <w:r w:rsidRPr="00C21C85">
              <w:rPr>
                <w:rFonts w:ascii="Times New Roman" w:eastAsia="Times New Roman" w:hAnsi="Times New Roman"/>
                <w:sz w:val="18"/>
                <w:szCs w:val="18"/>
                <w:lang w:eastAsia="ru-RU"/>
              </w:rPr>
              <w:t>4500 у./л.; Сульфат магния 10 ммоль./л.; Хлорид натрия 50 ммоль./л.; Буфер HEPES 50 ммоль./л. Реагент 2 - E  pNP-G7 5.5 ммоль./л.;  уфер HEPES 50 ммоль./л.; Хлорид натрия 50 ммоль./л.; Компоненты не могут быть взаимозаменяемы в различных комплектах. Время тестирования 60 сек. Линейный диапазон реагента: свыше 1500 у/л. Фасовка R1 4×50 мл. R2 1×50 мл. Количество тестов в упаковке не менее 783.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w:t>
            </w:r>
          </w:p>
        </w:tc>
        <w:tc>
          <w:tcPr>
            <w:tcW w:w="129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252 360,00</w:t>
            </w:r>
          </w:p>
        </w:tc>
        <w:tc>
          <w:tcPr>
            <w:tcW w:w="140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757 080,00</w:t>
            </w:r>
          </w:p>
        </w:tc>
      </w:tr>
      <w:tr w:rsidR="00C21C85" w:rsidRPr="00C21C85" w:rsidTr="00621DEC">
        <w:trPr>
          <w:trHeight w:val="2445"/>
        </w:trPr>
        <w:tc>
          <w:tcPr>
            <w:tcW w:w="586"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lastRenderedPageBreak/>
              <w:t>31</w:t>
            </w:r>
          </w:p>
        </w:tc>
        <w:tc>
          <w:tcPr>
            <w:tcW w:w="3540" w:type="dxa"/>
            <w:tcBorders>
              <w:top w:val="single" w:sz="4" w:space="0" w:color="auto"/>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Контрольный уровень №1</w:t>
            </w:r>
          </w:p>
        </w:tc>
        <w:tc>
          <w:tcPr>
            <w:tcW w:w="7088" w:type="dxa"/>
            <w:tcBorders>
              <w:top w:val="single" w:sz="4" w:space="0" w:color="auto"/>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xml:space="preserve">Контрольный материал  «Сыворотка контрольная для биохимических </w:t>
            </w:r>
            <w:r w:rsidRPr="00C21C85">
              <w:rPr>
                <w:rFonts w:ascii="Times New Roman" w:eastAsia="Times New Roman" w:hAnsi="Times New Roman"/>
                <w:sz w:val="18"/>
                <w:szCs w:val="18"/>
                <w:lang w:eastAsia="ru-RU"/>
              </w:rPr>
              <w:br/>
              <w:t>исследований уровень 1", лиофилизованный препарат от светло-желтого до светло-кремового цвета для оценки точности и воспроизводимости на биохимическом анализаторе  CS-T180 следующих параметров:  ALB, ALP, ALT, AMY, AST, BUN, UREA, Ca-CPC, Ca-ARS, CHE, CK, CL, CO2, CRE, CRE-ENZYME, D-BIL, D-BIL-V, GGT, GLDH, GLU-HK, GLU-OX, HBDH, K, LAP, LDH, Mg-XB, Na, P-AMY, PHOS, TB, TB-V, TBA, TC, TG, TP, UA, Zn,Fe,TIBC. ACP. Фасовка 5 мл х 4</w:t>
            </w:r>
          </w:p>
        </w:tc>
        <w:tc>
          <w:tcPr>
            <w:tcW w:w="85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w:t>
            </w:r>
          </w:p>
        </w:tc>
        <w:tc>
          <w:tcPr>
            <w:tcW w:w="129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119 280,00</w:t>
            </w:r>
          </w:p>
        </w:tc>
        <w:tc>
          <w:tcPr>
            <w:tcW w:w="140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357 840,00</w:t>
            </w:r>
          </w:p>
        </w:tc>
      </w:tr>
      <w:tr w:rsidR="00C21C85" w:rsidRPr="00C21C85" w:rsidTr="00621DEC">
        <w:trPr>
          <w:trHeight w:val="2295"/>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32</w:t>
            </w:r>
          </w:p>
        </w:tc>
        <w:tc>
          <w:tcPr>
            <w:tcW w:w="3540"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Контрольный уровень №2</w:t>
            </w:r>
          </w:p>
        </w:tc>
        <w:tc>
          <w:tcPr>
            <w:tcW w:w="7088"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xml:space="preserve">Контрольный материал «Сыворотка контрольная для биохимических </w:t>
            </w:r>
            <w:r w:rsidRPr="00C21C85">
              <w:rPr>
                <w:rFonts w:ascii="Times New Roman" w:eastAsia="Times New Roman" w:hAnsi="Times New Roman"/>
                <w:sz w:val="18"/>
                <w:szCs w:val="18"/>
                <w:lang w:eastAsia="ru-RU"/>
              </w:rPr>
              <w:br/>
              <w:t>исследований  уровень 2 ", лиофилизованный препарат от светло-желтого до светло-кремового цвета для оценки точности и воспроизводимости на биохимическом анализаторе CS-T180 следующих параметров:  ALB, ALP, ALT, AMY, AST, BUN, UREA, Ca-CPC, Ca-ARS, CHE, CK, CL, CO2, CRE, CRE-ENZYME, D-BIL, D-BIL-V, GGT, GLDH, GLU-HK, GLU-OX, HBDH, K, LAP, LDH, Mg-XB, Na, P-AMY, PHOS, TB, TB-V, TBA, TC, TG, TP, UA, Zn,Fe,TIBC. ACP. Фасовка 5 мл х 4</w:t>
            </w:r>
          </w:p>
        </w:tc>
        <w:tc>
          <w:tcPr>
            <w:tcW w:w="85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w:t>
            </w:r>
          </w:p>
        </w:tc>
        <w:tc>
          <w:tcPr>
            <w:tcW w:w="129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87 720,00</w:t>
            </w:r>
          </w:p>
        </w:tc>
        <w:tc>
          <w:tcPr>
            <w:tcW w:w="140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263 160,00</w:t>
            </w:r>
          </w:p>
        </w:tc>
      </w:tr>
      <w:tr w:rsidR="00C21C85" w:rsidRPr="00C21C85" w:rsidTr="00621DEC">
        <w:trPr>
          <w:trHeight w:val="1749"/>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33</w:t>
            </w:r>
          </w:p>
        </w:tc>
        <w:tc>
          <w:tcPr>
            <w:tcW w:w="3540"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Люст Тест микрореакции</w:t>
            </w:r>
          </w:p>
        </w:tc>
        <w:tc>
          <w:tcPr>
            <w:tcW w:w="7088"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 реагентов Люист-тест для определения ассоции рованных с сифилисом реагиновых антител, предназначен для определения ассоциированных с сифилисом реагновых антител в образцах сыворотки (плазмы) крови и ликвора человека и должен использоваться в клинико-диагностических лабораториях специально обученным персоналом . В одном  наборе 500шт.</w:t>
            </w:r>
          </w:p>
        </w:tc>
        <w:tc>
          <w:tcPr>
            <w:tcW w:w="85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30</w:t>
            </w:r>
          </w:p>
        </w:tc>
        <w:tc>
          <w:tcPr>
            <w:tcW w:w="129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24 200,00</w:t>
            </w:r>
          </w:p>
        </w:tc>
        <w:tc>
          <w:tcPr>
            <w:tcW w:w="140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726 000,00</w:t>
            </w:r>
          </w:p>
        </w:tc>
      </w:tr>
      <w:tr w:rsidR="00C21C85" w:rsidRPr="00C21C85" w:rsidTr="00621DEC">
        <w:trPr>
          <w:trHeight w:val="750"/>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34</w:t>
            </w:r>
          </w:p>
        </w:tc>
        <w:tc>
          <w:tcPr>
            <w:tcW w:w="3540"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Мультикалибратор</w:t>
            </w:r>
          </w:p>
        </w:tc>
        <w:tc>
          <w:tcPr>
            <w:tcW w:w="7088" w:type="dxa"/>
            <w:tcBorders>
              <w:top w:val="nil"/>
              <w:left w:val="nil"/>
              <w:bottom w:val="single" w:sz="4" w:space="0" w:color="auto"/>
              <w:right w:val="nil"/>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Сыворотка для клинико-химической калибровки    Clinical Chemical Calibration Serum 5мл*4</w:t>
            </w:r>
          </w:p>
        </w:tc>
        <w:tc>
          <w:tcPr>
            <w:tcW w:w="850" w:type="dxa"/>
            <w:tcBorders>
              <w:top w:val="nil"/>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w:t>
            </w:r>
          </w:p>
        </w:tc>
        <w:tc>
          <w:tcPr>
            <w:tcW w:w="129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129 720,00</w:t>
            </w:r>
          </w:p>
        </w:tc>
        <w:tc>
          <w:tcPr>
            <w:tcW w:w="140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259 440,00</w:t>
            </w:r>
          </w:p>
        </w:tc>
      </w:tr>
      <w:tr w:rsidR="00C21C85" w:rsidRPr="00C21C85" w:rsidTr="00621DEC">
        <w:trPr>
          <w:trHeight w:val="4814"/>
        </w:trPr>
        <w:tc>
          <w:tcPr>
            <w:tcW w:w="586"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lastRenderedPageBreak/>
              <w:t>35</w:t>
            </w:r>
          </w:p>
        </w:tc>
        <w:tc>
          <w:tcPr>
            <w:tcW w:w="3540"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Реагент для определения С-реактивного белка</w:t>
            </w:r>
          </w:p>
        </w:tc>
        <w:tc>
          <w:tcPr>
            <w:tcW w:w="7088"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Реагент применяется для количественного измерения в условиях in vitro концентрации</w:t>
            </w:r>
            <w:r w:rsidRPr="00C21C85">
              <w:rPr>
                <w:rFonts w:ascii="Times New Roman" w:eastAsia="Times New Roman" w:hAnsi="Times New Roman"/>
                <w:sz w:val="18"/>
                <w:szCs w:val="18"/>
                <w:lang w:eastAsia="ru-RU"/>
              </w:rPr>
              <w:br/>
              <w:t>С-реактивного белка в сыворотке крови человека на биохимическом анализаторе CS-T240.  Используют латексную частицу, которая сенсибилизируется антителом против С-реактивного белка человека. Латексные частицы сталкиваются с С-реактивным белком в образце жидкости и образуют нерастворимый комплекс антиген-антитело и определенную мутность. Уровень мутности отражает уровень C-реактивного белка в образце по сравнению с калибратором, обработанным аналогичным образом, поэтому можно рассчитать концентрацию C-реактивного белка в образце. Компоненты: Реагент 1- Трис Буфер 20 ммоль/л. Реагент 2- Антитело против С-реактивного белка человека Соответствующее количество.  Продолжительность реакции 2 минуты. Линейный диапазон настоящего реагента – 0 -0,80 мг/л; Фасовка 2х60 мл R2 2х15 мл Количество тестов в упаковке не менее 350. Реагенты поставляются в одноразовой заводской упаковке (флакон). Флакон имеет индивидуальный штрих код, который содержит информацию о наименовании реагента, тип реагента, объем реагента, дате производства реагента, дате окончании срока годности реагента.  Штрих код флакона должен быть совместим с ОС анализатора и системой безопасности анализатора. Не допускается загрязнения и повреждения штрих кода. Расстояние между дном флакона и штрих кодом должно соответствовать диапазону 15мм-25мм.</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35</w:t>
            </w:r>
          </w:p>
        </w:tc>
        <w:tc>
          <w:tcPr>
            <w:tcW w:w="129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186 720,00</w:t>
            </w:r>
          </w:p>
        </w:tc>
        <w:tc>
          <w:tcPr>
            <w:tcW w:w="140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6 535 200,00</w:t>
            </w:r>
          </w:p>
        </w:tc>
      </w:tr>
      <w:tr w:rsidR="00C21C85" w:rsidRPr="00C21C85" w:rsidTr="00621DEC">
        <w:trPr>
          <w:trHeight w:val="1425"/>
        </w:trPr>
        <w:tc>
          <w:tcPr>
            <w:tcW w:w="586"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36</w:t>
            </w:r>
          </w:p>
        </w:tc>
        <w:tc>
          <w:tcPr>
            <w:tcW w:w="3540" w:type="dxa"/>
            <w:tcBorders>
              <w:top w:val="single" w:sz="4" w:space="0" w:color="auto"/>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Контрольная сыворотка уровень 1-1мл</w:t>
            </w:r>
          </w:p>
        </w:tc>
        <w:tc>
          <w:tcPr>
            <w:tcW w:w="7088" w:type="dxa"/>
            <w:tcBorders>
              <w:top w:val="single" w:sz="4" w:space="0" w:color="auto"/>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xml:space="preserve">«Контрольная сыворотка специфических белков» (уровень№1) используется </w:t>
            </w:r>
            <w:r w:rsidRPr="00C21C85">
              <w:rPr>
                <w:rFonts w:ascii="Times New Roman" w:eastAsia="Times New Roman" w:hAnsi="Times New Roman"/>
                <w:sz w:val="18"/>
                <w:szCs w:val="18"/>
                <w:lang w:eastAsia="ru-RU"/>
              </w:rPr>
              <w:br/>
              <w:t>для оценки точности и воспроизводимости измерения на биохимическом анализаторе CS-T240 следующих параметров: IgA/IgM/IgG/C3/C4/PA/TRF/β2-MG/ASO/RF/CRP/ALB/RBP.  Фасовка 1 мл х 1</w:t>
            </w:r>
          </w:p>
        </w:tc>
        <w:tc>
          <w:tcPr>
            <w:tcW w:w="85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w:t>
            </w:r>
          </w:p>
        </w:tc>
        <w:tc>
          <w:tcPr>
            <w:tcW w:w="129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89 880,00</w:t>
            </w:r>
          </w:p>
        </w:tc>
        <w:tc>
          <w:tcPr>
            <w:tcW w:w="140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179 760,00</w:t>
            </w:r>
          </w:p>
        </w:tc>
      </w:tr>
      <w:tr w:rsidR="00C21C85" w:rsidRPr="00C21C85" w:rsidTr="00621DEC">
        <w:trPr>
          <w:trHeight w:val="1410"/>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37</w:t>
            </w:r>
          </w:p>
        </w:tc>
        <w:tc>
          <w:tcPr>
            <w:tcW w:w="3540"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Контрольная сыворотка уровень 2-1мл</w:t>
            </w:r>
          </w:p>
        </w:tc>
        <w:tc>
          <w:tcPr>
            <w:tcW w:w="7088"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«Контрольная сыворотка специфических белков» (уровень№2) используется</w:t>
            </w:r>
            <w:r w:rsidRPr="00C21C85">
              <w:rPr>
                <w:rFonts w:ascii="Times New Roman" w:eastAsia="Times New Roman" w:hAnsi="Times New Roman"/>
                <w:sz w:val="18"/>
                <w:szCs w:val="18"/>
                <w:lang w:eastAsia="ru-RU"/>
              </w:rPr>
              <w:br/>
              <w:t xml:space="preserve"> для оценки точности и воспроизводимости измерения на биохимическом анализаторе CS-T240  следующих параметров: IgA/IgM/IgG/C3/C4/PA/TRF/β2-MG/ASO/RF/CRP/ALB/RBP.  Фасовка 1 мл х 1</w:t>
            </w:r>
          </w:p>
        </w:tc>
        <w:tc>
          <w:tcPr>
            <w:tcW w:w="85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w:t>
            </w:r>
          </w:p>
        </w:tc>
        <w:tc>
          <w:tcPr>
            <w:tcW w:w="129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89 880,00</w:t>
            </w:r>
          </w:p>
        </w:tc>
        <w:tc>
          <w:tcPr>
            <w:tcW w:w="140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179 760,00</w:t>
            </w:r>
          </w:p>
        </w:tc>
      </w:tr>
      <w:tr w:rsidR="00C21C85" w:rsidRPr="00C21C85" w:rsidTr="00621DEC">
        <w:trPr>
          <w:trHeight w:val="1110"/>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38</w:t>
            </w:r>
          </w:p>
        </w:tc>
        <w:tc>
          <w:tcPr>
            <w:tcW w:w="3540"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Детергент антибактериальный промывочный раствор</w:t>
            </w:r>
          </w:p>
        </w:tc>
        <w:tc>
          <w:tcPr>
            <w:tcW w:w="7088"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xml:space="preserve">Антибактериальный промывочный раствор без фосфора для биохимического </w:t>
            </w:r>
            <w:r w:rsidRPr="00C21C85">
              <w:rPr>
                <w:rFonts w:ascii="Times New Roman" w:eastAsia="Times New Roman" w:hAnsi="Times New Roman"/>
                <w:sz w:val="18"/>
                <w:szCs w:val="18"/>
                <w:lang w:eastAsia="ru-RU"/>
              </w:rPr>
              <w:br/>
              <w:t>анализатора CS-T240. Фасовка 500мл</w:t>
            </w:r>
          </w:p>
        </w:tc>
        <w:tc>
          <w:tcPr>
            <w:tcW w:w="85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15</w:t>
            </w:r>
          </w:p>
        </w:tc>
        <w:tc>
          <w:tcPr>
            <w:tcW w:w="129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55 800,00</w:t>
            </w:r>
          </w:p>
        </w:tc>
        <w:tc>
          <w:tcPr>
            <w:tcW w:w="140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837 000,00</w:t>
            </w:r>
          </w:p>
        </w:tc>
      </w:tr>
      <w:tr w:rsidR="00C21C85" w:rsidRPr="00C21C85" w:rsidTr="00621DEC">
        <w:trPr>
          <w:trHeight w:val="750"/>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39</w:t>
            </w:r>
          </w:p>
        </w:tc>
        <w:tc>
          <w:tcPr>
            <w:tcW w:w="3540"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Детергент промывочный щелочной раствор 2000мл</w:t>
            </w:r>
          </w:p>
        </w:tc>
        <w:tc>
          <w:tcPr>
            <w:tcW w:w="7088"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xml:space="preserve">Промывочный щелочной раствор для биохимического анализатора CS-T240.  </w:t>
            </w:r>
            <w:r w:rsidRPr="00C21C85">
              <w:rPr>
                <w:rFonts w:ascii="Times New Roman" w:eastAsia="Times New Roman" w:hAnsi="Times New Roman"/>
                <w:sz w:val="18"/>
                <w:szCs w:val="18"/>
                <w:lang w:eastAsia="ru-RU"/>
              </w:rPr>
              <w:br/>
              <w:t>Фасовка 2000мл.</w:t>
            </w:r>
          </w:p>
        </w:tc>
        <w:tc>
          <w:tcPr>
            <w:tcW w:w="85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10</w:t>
            </w:r>
          </w:p>
        </w:tc>
        <w:tc>
          <w:tcPr>
            <w:tcW w:w="129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55 800,00</w:t>
            </w:r>
          </w:p>
        </w:tc>
        <w:tc>
          <w:tcPr>
            <w:tcW w:w="140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558 000,00</w:t>
            </w:r>
          </w:p>
        </w:tc>
      </w:tr>
      <w:tr w:rsidR="00C21C85" w:rsidRPr="00C21C85" w:rsidTr="00621DEC">
        <w:trPr>
          <w:trHeight w:val="375"/>
        </w:trPr>
        <w:tc>
          <w:tcPr>
            <w:tcW w:w="586"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p>
        </w:tc>
        <w:tc>
          <w:tcPr>
            <w:tcW w:w="10628"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b/>
                <w:bCs/>
                <w:sz w:val="18"/>
                <w:szCs w:val="18"/>
                <w:lang w:eastAsia="ru-RU"/>
              </w:rPr>
            </w:pPr>
            <w:r w:rsidRPr="00C21C85">
              <w:rPr>
                <w:rFonts w:ascii="Times New Roman" w:eastAsia="Times New Roman" w:hAnsi="Times New Roman"/>
                <w:b/>
                <w:bCs/>
                <w:sz w:val="18"/>
                <w:szCs w:val="18"/>
                <w:lang w:eastAsia="ru-RU"/>
              </w:rPr>
              <w:t>Гематологический анализатор  DIRUI ВСС - 3600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p>
        </w:tc>
        <w:tc>
          <w:tcPr>
            <w:tcW w:w="129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p>
        </w:tc>
        <w:tc>
          <w:tcPr>
            <w:tcW w:w="140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p>
        </w:tc>
      </w:tr>
      <w:tr w:rsidR="00C21C85" w:rsidRPr="00C21C85" w:rsidTr="00621DEC">
        <w:trPr>
          <w:trHeight w:val="375"/>
        </w:trPr>
        <w:tc>
          <w:tcPr>
            <w:tcW w:w="586"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40</w:t>
            </w:r>
          </w:p>
        </w:tc>
        <w:tc>
          <w:tcPr>
            <w:tcW w:w="354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Diluent</w:t>
            </w:r>
          </w:p>
        </w:tc>
        <w:tc>
          <w:tcPr>
            <w:tcW w:w="7088"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Diluent</w:t>
            </w:r>
          </w:p>
        </w:tc>
        <w:tc>
          <w:tcPr>
            <w:tcW w:w="85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90</w:t>
            </w:r>
          </w:p>
        </w:tc>
        <w:tc>
          <w:tcPr>
            <w:tcW w:w="129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36 240,00</w:t>
            </w:r>
          </w:p>
        </w:tc>
        <w:tc>
          <w:tcPr>
            <w:tcW w:w="140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3 261 600,00</w:t>
            </w:r>
          </w:p>
        </w:tc>
      </w:tr>
      <w:tr w:rsidR="00C21C85" w:rsidRPr="00C21C85" w:rsidTr="00621DEC">
        <w:trPr>
          <w:trHeight w:val="375"/>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41</w:t>
            </w:r>
          </w:p>
        </w:tc>
        <w:tc>
          <w:tcPr>
            <w:tcW w:w="354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Lyse</w:t>
            </w:r>
          </w:p>
        </w:tc>
        <w:tc>
          <w:tcPr>
            <w:tcW w:w="7088"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Lyse</w:t>
            </w:r>
          </w:p>
        </w:tc>
        <w:tc>
          <w:tcPr>
            <w:tcW w:w="85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85</w:t>
            </w:r>
          </w:p>
        </w:tc>
        <w:tc>
          <w:tcPr>
            <w:tcW w:w="129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32 280,00</w:t>
            </w:r>
          </w:p>
        </w:tc>
        <w:tc>
          <w:tcPr>
            <w:tcW w:w="140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2 743 800,00</w:t>
            </w:r>
          </w:p>
        </w:tc>
      </w:tr>
      <w:tr w:rsidR="00C21C85" w:rsidRPr="00C21C85" w:rsidTr="00621DEC">
        <w:trPr>
          <w:trHeight w:val="375"/>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42</w:t>
            </w:r>
          </w:p>
        </w:tc>
        <w:tc>
          <w:tcPr>
            <w:tcW w:w="354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Cleanser</w:t>
            </w:r>
          </w:p>
        </w:tc>
        <w:tc>
          <w:tcPr>
            <w:tcW w:w="7088"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Cleanser</w:t>
            </w:r>
          </w:p>
        </w:tc>
        <w:tc>
          <w:tcPr>
            <w:tcW w:w="85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20</w:t>
            </w:r>
          </w:p>
        </w:tc>
        <w:tc>
          <w:tcPr>
            <w:tcW w:w="129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20 160,00</w:t>
            </w:r>
          </w:p>
        </w:tc>
        <w:tc>
          <w:tcPr>
            <w:tcW w:w="140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403 200,00</w:t>
            </w:r>
          </w:p>
        </w:tc>
      </w:tr>
      <w:tr w:rsidR="00C21C85" w:rsidRPr="00C21C85" w:rsidTr="00621DEC">
        <w:trPr>
          <w:trHeight w:val="375"/>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43</w:t>
            </w:r>
          </w:p>
        </w:tc>
        <w:tc>
          <w:tcPr>
            <w:tcW w:w="354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Control-Midle Level</w:t>
            </w:r>
          </w:p>
        </w:tc>
        <w:tc>
          <w:tcPr>
            <w:tcW w:w="7088"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Control-Midle Level</w:t>
            </w:r>
          </w:p>
        </w:tc>
        <w:tc>
          <w:tcPr>
            <w:tcW w:w="85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10</w:t>
            </w:r>
          </w:p>
        </w:tc>
        <w:tc>
          <w:tcPr>
            <w:tcW w:w="129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36 240,00</w:t>
            </w:r>
          </w:p>
        </w:tc>
        <w:tc>
          <w:tcPr>
            <w:tcW w:w="140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362 400,00</w:t>
            </w:r>
          </w:p>
        </w:tc>
      </w:tr>
      <w:tr w:rsidR="00C21C85" w:rsidRPr="00C21C85" w:rsidTr="00621DEC">
        <w:trPr>
          <w:trHeight w:val="375"/>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44</w:t>
            </w:r>
          </w:p>
        </w:tc>
        <w:tc>
          <w:tcPr>
            <w:tcW w:w="354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Control-High Level</w:t>
            </w:r>
          </w:p>
        </w:tc>
        <w:tc>
          <w:tcPr>
            <w:tcW w:w="7088"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Control-High Level</w:t>
            </w:r>
          </w:p>
        </w:tc>
        <w:tc>
          <w:tcPr>
            <w:tcW w:w="85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10</w:t>
            </w:r>
          </w:p>
        </w:tc>
        <w:tc>
          <w:tcPr>
            <w:tcW w:w="129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36 240,00</w:t>
            </w:r>
          </w:p>
        </w:tc>
        <w:tc>
          <w:tcPr>
            <w:tcW w:w="140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362 400,00</w:t>
            </w:r>
          </w:p>
        </w:tc>
      </w:tr>
      <w:tr w:rsidR="00C21C85" w:rsidRPr="00C21C85" w:rsidTr="00621DEC">
        <w:trPr>
          <w:trHeight w:val="375"/>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45</w:t>
            </w:r>
          </w:p>
        </w:tc>
        <w:tc>
          <w:tcPr>
            <w:tcW w:w="354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Control-Low Level</w:t>
            </w:r>
          </w:p>
        </w:tc>
        <w:tc>
          <w:tcPr>
            <w:tcW w:w="7088"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Control-Low Level</w:t>
            </w:r>
          </w:p>
        </w:tc>
        <w:tc>
          <w:tcPr>
            <w:tcW w:w="85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наборы</w:t>
            </w:r>
          </w:p>
        </w:tc>
        <w:tc>
          <w:tcPr>
            <w:tcW w:w="92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10</w:t>
            </w:r>
          </w:p>
        </w:tc>
        <w:tc>
          <w:tcPr>
            <w:tcW w:w="129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36 240,00</w:t>
            </w:r>
          </w:p>
        </w:tc>
        <w:tc>
          <w:tcPr>
            <w:tcW w:w="140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362 400,00</w:t>
            </w:r>
          </w:p>
        </w:tc>
      </w:tr>
      <w:tr w:rsidR="00C21C85" w:rsidRPr="00C21C85" w:rsidTr="00621DEC">
        <w:trPr>
          <w:trHeight w:val="375"/>
        </w:trPr>
        <w:tc>
          <w:tcPr>
            <w:tcW w:w="586" w:type="dxa"/>
            <w:tcBorders>
              <w:top w:val="nil"/>
              <w:left w:val="single" w:sz="4" w:space="0" w:color="auto"/>
              <w:bottom w:val="single" w:sz="4" w:space="0" w:color="auto"/>
              <w:right w:val="nil"/>
            </w:tcBorders>
            <w:shd w:val="clear" w:color="auto" w:fill="auto"/>
            <w:noWrap/>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 </w:t>
            </w:r>
          </w:p>
        </w:tc>
        <w:tc>
          <w:tcPr>
            <w:tcW w:w="10628" w:type="dxa"/>
            <w:gridSpan w:val="2"/>
            <w:tcBorders>
              <w:top w:val="nil"/>
              <w:left w:val="nil"/>
              <w:bottom w:val="single" w:sz="4" w:space="0" w:color="auto"/>
              <w:right w:val="nil"/>
            </w:tcBorders>
            <w:shd w:val="clear" w:color="auto" w:fill="auto"/>
            <w:noWrap/>
            <w:hideMark/>
          </w:tcPr>
          <w:p w:rsidR="00C21C85" w:rsidRPr="00C21C85" w:rsidRDefault="00C21C85" w:rsidP="00C21C85">
            <w:pPr>
              <w:spacing w:after="0" w:line="240" w:lineRule="auto"/>
              <w:rPr>
                <w:rFonts w:ascii="Times New Roman" w:eastAsia="Times New Roman" w:hAnsi="Times New Roman"/>
                <w:b/>
                <w:bCs/>
                <w:color w:val="000000"/>
                <w:sz w:val="18"/>
                <w:szCs w:val="18"/>
                <w:lang w:eastAsia="ru-RU"/>
              </w:rPr>
            </w:pPr>
            <w:r w:rsidRPr="00C21C85">
              <w:rPr>
                <w:rFonts w:ascii="Times New Roman" w:eastAsia="Times New Roman" w:hAnsi="Times New Roman"/>
                <w:b/>
                <w:bCs/>
                <w:color w:val="000000"/>
                <w:sz w:val="18"/>
                <w:szCs w:val="18"/>
                <w:lang w:eastAsia="ru-RU"/>
              </w:rPr>
              <w:t>Реагенты на гемостаз тромбоэластограф ROTEM Delta</w:t>
            </w:r>
          </w:p>
        </w:tc>
        <w:tc>
          <w:tcPr>
            <w:tcW w:w="850" w:type="dxa"/>
            <w:tcBorders>
              <w:top w:val="nil"/>
              <w:left w:val="nil"/>
              <w:bottom w:val="single" w:sz="4" w:space="0" w:color="auto"/>
              <w:right w:val="nil"/>
            </w:tcBorders>
            <w:shd w:val="clear" w:color="auto" w:fill="auto"/>
            <w:noWrap/>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p>
        </w:tc>
        <w:tc>
          <w:tcPr>
            <w:tcW w:w="920" w:type="dxa"/>
            <w:tcBorders>
              <w:top w:val="nil"/>
              <w:left w:val="nil"/>
              <w:bottom w:val="single" w:sz="4" w:space="0" w:color="auto"/>
              <w:right w:val="nil"/>
            </w:tcBorders>
            <w:shd w:val="clear" w:color="auto" w:fill="auto"/>
            <w:noWrap/>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p>
        </w:tc>
        <w:tc>
          <w:tcPr>
            <w:tcW w:w="1290" w:type="dxa"/>
            <w:tcBorders>
              <w:top w:val="nil"/>
              <w:left w:val="nil"/>
              <w:bottom w:val="single" w:sz="4" w:space="0" w:color="auto"/>
              <w:right w:val="nil"/>
            </w:tcBorders>
            <w:shd w:val="clear" w:color="auto" w:fill="auto"/>
            <w:noWrap/>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p>
        </w:tc>
        <w:tc>
          <w:tcPr>
            <w:tcW w:w="1400" w:type="dxa"/>
            <w:tcBorders>
              <w:top w:val="nil"/>
              <w:left w:val="nil"/>
              <w:bottom w:val="nil"/>
              <w:right w:val="nil"/>
            </w:tcBorders>
            <w:shd w:val="clear" w:color="auto" w:fill="auto"/>
            <w:noWrap/>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p>
        </w:tc>
      </w:tr>
      <w:tr w:rsidR="00C21C85" w:rsidRPr="00C21C85" w:rsidTr="00621DEC">
        <w:trPr>
          <w:trHeight w:val="1016"/>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46</w:t>
            </w:r>
          </w:p>
        </w:tc>
        <w:tc>
          <w:tcPr>
            <w:tcW w:w="3540"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Оптимизированный активатор внешнего пути ех-ТЕМ из комплектас Система гемостаза цельной крови методом тромбоэластометрии (10х10+2+8С)</w:t>
            </w:r>
          </w:p>
        </w:tc>
        <w:tc>
          <w:tcPr>
            <w:tcW w:w="7088"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Активация свертывания по «внешнему пути»: позволяет оценить дефицит факторов свертывания VII, X, V, II, дефицит фибриногена и тромбоцитов. Упаковка 10 флаконов, по 10 тестов в каждом.</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упак</w:t>
            </w:r>
          </w:p>
        </w:tc>
        <w:tc>
          <w:tcPr>
            <w:tcW w:w="920"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1</w:t>
            </w:r>
          </w:p>
        </w:tc>
        <w:tc>
          <w:tcPr>
            <w:tcW w:w="129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216 658,00</w:t>
            </w:r>
          </w:p>
        </w:tc>
        <w:tc>
          <w:tcPr>
            <w:tcW w:w="140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216 658,00</w:t>
            </w:r>
          </w:p>
        </w:tc>
      </w:tr>
      <w:tr w:rsidR="00C21C85" w:rsidRPr="00C21C85" w:rsidTr="00D17A55">
        <w:trPr>
          <w:trHeight w:val="987"/>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47</w:t>
            </w:r>
          </w:p>
        </w:tc>
        <w:tc>
          <w:tcPr>
            <w:tcW w:w="3540" w:type="dxa"/>
            <w:tcBorders>
              <w:top w:val="single" w:sz="4" w:space="0" w:color="auto"/>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Подтверждение гиперфибринолиза ар__ТЕМ из комплекта Система Система гемостаза цельной крови методом тромбоэластометрии (10х5)+2+8С</w:t>
            </w:r>
          </w:p>
        </w:tc>
        <w:tc>
          <w:tcPr>
            <w:tcW w:w="7088" w:type="dxa"/>
            <w:tcBorders>
              <w:top w:val="single" w:sz="4" w:space="0" w:color="auto"/>
              <w:left w:val="nil"/>
              <w:bottom w:val="single" w:sz="4" w:space="0" w:color="auto"/>
              <w:right w:val="nil"/>
            </w:tcBorders>
            <w:shd w:val="clear" w:color="auto" w:fill="auto"/>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Активация свертывания по «внешнему пути» с добавлением апротинина для подавления активности фибринолитической системы: позволяет подтвердить/исключить наличие гиперфибринолиза. Упаковка 10 флаконов, по 5 тестов в каждом.</w:t>
            </w:r>
          </w:p>
        </w:tc>
        <w:tc>
          <w:tcPr>
            <w:tcW w:w="850" w:type="dxa"/>
            <w:tcBorders>
              <w:top w:val="single" w:sz="4" w:space="0" w:color="auto"/>
              <w:left w:val="single" w:sz="4" w:space="0" w:color="auto"/>
              <w:bottom w:val="single" w:sz="4" w:space="0" w:color="auto"/>
              <w:right w:val="nil"/>
            </w:tcBorders>
            <w:shd w:val="clear" w:color="auto" w:fill="auto"/>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упак</w:t>
            </w:r>
          </w:p>
        </w:tc>
        <w:tc>
          <w:tcPr>
            <w:tcW w:w="920"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1</w:t>
            </w:r>
          </w:p>
        </w:tc>
        <w:tc>
          <w:tcPr>
            <w:tcW w:w="129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158 968,00</w:t>
            </w:r>
          </w:p>
        </w:tc>
        <w:tc>
          <w:tcPr>
            <w:tcW w:w="140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158 968,00</w:t>
            </w:r>
          </w:p>
        </w:tc>
      </w:tr>
      <w:tr w:rsidR="00C21C85" w:rsidRPr="00C21C85" w:rsidTr="00621DEC">
        <w:trPr>
          <w:trHeight w:val="1126"/>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48</w:t>
            </w:r>
          </w:p>
        </w:tc>
        <w:tc>
          <w:tcPr>
            <w:tcW w:w="3540"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Контроль ROTEM-N (нормал) измеренный (4 теста/фл из комплекта Система гемостаза цельной крови методом тромбоэластометрии +2+8С</w:t>
            </w:r>
          </w:p>
        </w:tc>
        <w:tc>
          <w:tcPr>
            <w:tcW w:w="7088" w:type="dxa"/>
            <w:tcBorders>
              <w:top w:val="single" w:sz="4" w:space="0" w:color="auto"/>
              <w:left w:val="nil"/>
              <w:bottom w:val="single" w:sz="4" w:space="0" w:color="auto"/>
              <w:right w:val="nil"/>
            </w:tcBorders>
            <w:shd w:val="clear" w:color="auto" w:fill="auto"/>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Контроль норма. Качественный контрольный материал. Лиофилизированная контрольная плазма норма, полученная при обработке человеческой плазмы цитратом натрия и антикоагулянтом (0,129 моль/л) и раствор для разведения.</w:t>
            </w:r>
          </w:p>
        </w:tc>
        <w:tc>
          <w:tcPr>
            <w:tcW w:w="850" w:type="dxa"/>
            <w:tcBorders>
              <w:top w:val="single" w:sz="4" w:space="0" w:color="auto"/>
              <w:left w:val="single" w:sz="4" w:space="0" w:color="auto"/>
              <w:bottom w:val="single" w:sz="4" w:space="0" w:color="auto"/>
              <w:right w:val="nil"/>
            </w:tcBorders>
            <w:shd w:val="clear" w:color="auto" w:fill="auto"/>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упак</w:t>
            </w:r>
          </w:p>
        </w:tc>
        <w:tc>
          <w:tcPr>
            <w:tcW w:w="920" w:type="dxa"/>
            <w:tcBorders>
              <w:top w:val="single" w:sz="4" w:space="0" w:color="auto"/>
              <w:left w:val="single" w:sz="4" w:space="0" w:color="auto"/>
              <w:bottom w:val="single" w:sz="4" w:space="0" w:color="auto"/>
              <w:right w:val="nil"/>
            </w:tcBorders>
            <w:shd w:val="clear" w:color="auto" w:fill="auto"/>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1</w:t>
            </w:r>
          </w:p>
        </w:tc>
        <w:tc>
          <w:tcPr>
            <w:tcW w:w="129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107 044,00</w:t>
            </w:r>
          </w:p>
        </w:tc>
        <w:tc>
          <w:tcPr>
            <w:tcW w:w="140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color w:val="000000"/>
                <w:sz w:val="18"/>
                <w:szCs w:val="18"/>
                <w:lang w:eastAsia="ru-RU"/>
              </w:rPr>
            </w:pPr>
            <w:r w:rsidRPr="00C21C85">
              <w:rPr>
                <w:rFonts w:ascii="Times New Roman" w:eastAsia="Times New Roman" w:hAnsi="Times New Roman"/>
                <w:color w:val="000000"/>
                <w:sz w:val="18"/>
                <w:szCs w:val="18"/>
                <w:lang w:eastAsia="ru-RU"/>
              </w:rPr>
              <w:t>107 044,00</w:t>
            </w:r>
          </w:p>
        </w:tc>
      </w:tr>
      <w:tr w:rsidR="00C21C85" w:rsidRPr="00C21C85" w:rsidTr="00621DEC">
        <w:trPr>
          <w:trHeight w:val="375"/>
        </w:trPr>
        <w:tc>
          <w:tcPr>
            <w:tcW w:w="586" w:type="dxa"/>
            <w:tcBorders>
              <w:top w:val="nil"/>
              <w:left w:val="single" w:sz="4" w:space="0" w:color="auto"/>
              <w:bottom w:val="single" w:sz="4" w:space="0" w:color="auto"/>
              <w:right w:val="nil"/>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w:t>
            </w:r>
          </w:p>
        </w:tc>
        <w:tc>
          <w:tcPr>
            <w:tcW w:w="3540" w:type="dxa"/>
            <w:tcBorders>
              <w:top w:val="nil"/>
              <w:left w:val="nil"/>
              <w:bottom w:val="nil"/>
              <w:right w:val="nil"/>
            </w:tcBorders>
            <w:shd w:val="clear" w:color="auto" w:fill="auto"/>
            <w:hideMark/>
          </w:tcPr>
          <w:p w:rsidR="00C21C85" w:rsidRPr="00C21C85" w:rsidRDefault="00C21C85" w:rsidP="00C21C85">
            <w:pPr>
              <w:spacing w:after="0" w:line="240" w:lineRule="auto"/>
              <w:rPr>
                <w:rFonts w:ascii="Times New Roman" w:eastAsia="Times New Roman" w:hAnsi="Times New Roman"/>
                <w:b/>
                <w:bCs/>
                <w:sz w:val="18"/>
                <w:szCs w:val="18"/>
                <w:lang w:eastAsia="ru-RU"/>
              </w:rPr>
            </w:pPr>
            <w:r w:rsidRPr="00C21C85">
              <w:rPr>
                <w:rFonts w:ascii="Times New Roman" w:eastAsia="Times New Roman" w:hAnsi="Times New Roman"/>
                <w:b/>
                <w:bCs/>
                <w:sz w:val="18"/>
                <w:szCs w:val="18"/>
                <w:lang w:eastAsia="ru-RU"/>
              </w:rPr>
              <w:t>Анализатор Getein 1100</w:t>
            </w:r>
          </w:p>
        </w:tc>
        <w:tc>
          <w:tcPr>
            <w:tcW w:w="7088" w:type="dxa"/>
            <w:tcBorders>
              <w:top w:val="single" w:sz="4" w:space="0" w:color="auto"/>
              <w:left w:val="nil"/>
              <w:bottom w:val="nil"/>
              <w:right w:val="nil"/>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p>
        </w:tc>
        <w:tc>
          <w:tcPr>
            <w:tcW w:w="850" w:type="dxa"/>
            <w:tcBorders>
              <w:top w:val="single" w:sz="4" w:space="0" w:color="auto"/>
              <w:left w:val="nil"/>
              <w:bottom w:val="nil"/>
              <w:right w:val="nil"/>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p>
        </w:tc>
        <w:tc>
          <w:tcPr>
            <w:tcW w:w="920" w:type="dxa"/>
            <w:tcBorders>
              <w:top w:val="single" w:sz="4" w:space="0" w:color="auto"/>
              <w:left w:val="nil"/>
              <w:bottom w:val="nil"/>
              <w:right w:val="nil"/>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p>
        </w:tc>
        <w:tc>
          <w:tcPr>
            <w:tcW w:w="1290" w:type="dxa"/>
            <w:tcBorders>
              <w:top w:val="nil"/>
              <w:left w:val="nil"/>
              <w:bottom w:val="nil"/>
              <w:right w:val="nil"/>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p>
        </w:tc>
        <w:tc>
          <w:tcPr>
            <w:tcW w:w="1400" w:type="dxa"/>
            <w:tcBorders>
              <w:top w:val="nil"/>
              <w:left w:val="nil"/>
              <w:bottom w:val="nil"/>
              <w:right w:val="nil"/>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p>
        </w:tc>
      </w:tr>
      <w:tr w:rsidR="00C21C85" w:rsidRPr="00C21C85" w:rsidTr="00621DEC">
        <w:trPr>
          <w:trHeight w:val="1166"/>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49</w:t>
            </w:r>
          </w:p>
        </w:tc>
        <w:tc>
          <w:tcPr>
            <w:tcW w:w="3540" w:type="dxa"/>
            <w:tcBorders>
              <w:top w:val="single" w:sz="4" w:space="0" w:color="auto"/>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Тест набор для определения прокальцитонина (РСТ)</w:t>
            </w:r>
          </w:p>
        </w:tc>
        <w:tc>
          <w:tcPr>
            <w:tcW w:w="7088" w:type="dxa"/>
            <w:tcBorders>
              <w:top w:val="single" w:sz="4" w:space="0" w:color="auto"/>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xml:space="preserve">Набор тестов для определения прокальцитонина (РСТ) , предназначен для флуоресцентного анализатора Getein 1100, количественный метод определения, 25 тестов в упаковке, условия хранения +4+30, срок хранения 24 месяцев, </w:t>
            </w:r>
          </w:p>
        </w:tc>
        <w:tc>
          <w:tcPr>
            <w:tcW w:w="85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уп</w:t>
            </w:r>
          </w:p>
        </w:tc>
        <w:tc>
          <w:tcPr>
            <w:tcW w:w="92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20</w:t>
            </w:r>
          </w:p>
        </w:tc>
        <w:tc>
          <w:tcPr>
            <w:tcW w:w="129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61 000,00</w:t>
            </w:r>
          </w:p>
        </w:tc>
        <w:tc>
          <w:tcPr>
            <w:tcW w:w="1400" w:type="dxa"/>
            <w:tcBorders>
              <w:top w:val="single" w:sz="4" w:space="0" w:color="auto"/>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1 220 000,00</w:t>
            </w:r>
          </w:p>
        </w:tc>
      </w:tr>
      <w:tr w:rsidR="00C21C85" w:rsidRPr="00C21C85" w:rsidTr="00621DEC">
        <w:trPr>
          <w:trHeight w:val="845"/>
        </w:trPr>
        <w:tc>
          <w:tcPr>
            <w:tcW w:w="586" w:type="dxa"/>
            <w:tcBorders>
              <w:top w:val="nil"/>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50</w:t>
            </w:r>
          </w:p>
        </w:tc>
        <w:tc>
          <w:tcPr>
            <w:tcW w:w="3540"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Тест набор для определения Ферритин (Ferritin)</w:t>
            </w:r>
          </w:p>
        </w:tc>
        <w:tc>
          <w:tcPr>
            <w:tcW w:w="7088" w:type="dxa"/>
            <w:tcBorders>
              <w:top w:val="nil"/>
              <w:left w:val="nil"/>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xml:space="preserve">Набор тестов для определения Ферритин (Ferritin) , предназначен для флуоресцентного анализатора Getein 1100, количественный метод определения, 25 тестов в упаковке, условия хранения +4+30, срок хранения 24 месяцев, </w:t>
            </w:r>
          </w:p>
        </w:tc>
        <w:tc>
          <w:tcPr>
            <w:tcW w:w="85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уп</w:t>
            </w:r>
          </w:p>
        </w:tc>
        <w:tc>
          <w:tcPr>
            <w:tcW w:w="92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20</w:t>
            </w:r>
          </w:p>
        </w:tc>
        <w:tc>
          <w:tcPr>
            <w:tcW w:w="129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59 000,00</w:t>
            </w:r>
          </w:p>
        </w:tc>
        <w:tc>
          <w:tcPr>
            <w:tcW w:w="1400" w:type="dxa"/>
            <w:tcBorders>
              <w:top w:val="nil"/>
              <w:left w:val="nil"/>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1 180 000,00</w:t>
            </w:r>
          </w:p>
        </w:tc>
      </w:tr>
      <w:tr w:rsidR="00C21C85" w:rsidRPr="00C21C85" w:rsidTr="00621DEC">
        <w:trPr>
          <w:trHeight w:val="845"/>
        </w:trPr>
        <w:tc>
          <w:tcPr>
            <w:tcW w:w="586"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51</w:t>
            </w:r>
          </w:p>
        </w:tc>
        <w:tc>
          <w:tcPr>
            <w:tcW w:w="3540"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xml:space="preserve">Тест набор для Тропонин Cardiac Troponin I </w:t>
            </w:r>
          </w:p>
        </w:tc>
        <w:tc>
          <w:tcPr>
            <w:tcW w:w="7088" w:type="dxa"/>
            <w:tcBorders>
              <w:top w:val="single" w:sz="4" w:space="0" w:color="auto"/>
              <w:left w:val="single" w:sz="4" w:space="0" w:color="auto"/>
              <w:bottom w:val="single" w:sz="4" w:space="0" w:color="auto"/>
              <w:right w:val="single" w:sz="4" w:space="0" w:color="auto"/>
            </w:tcBorders>
            <w:shd w:val="clear" w:color="auto" w:fill="auto"/>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 xml:space="preserve">Набор тестов для определения тропинина I , предназначен для флуоресцентного анализатора Getein 1100, количественный метод определения, 25 тестов в упаковке, условия хранения +4+30, срок хранения 24 месяцев, </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уп</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1</w:t>
            </w:r>
          </w:p>
        </w:tc>
        <w:tc>
          <w:tcPr>
            <w:tcW w:w="129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55 000,00</w:t>
            </w:r>
          </w:p>
        </w:tc>
        <w:tc>
          <w:tcPr>
            <w:tcW w:w="1400" w:type="dxa"/>
            <w:tcBorders>
              <w:top w:val="single" w:sz="4" w:space="0" w:color="auto"/>
              <w:left w:val="single" w:sz="4" w:space="0" w:color="auto"/>
              <w:bottom w:val="single" w:sz="4" w:space="0" w:color="auto"/>
              <w:right w:val="single" w:sz="4" w:space="0" w:color="auto"/>
            </w:tcBorders>
            <w:shd w:val="clear" w:color="auto" w:fill="auto"/>
            <w:noWrap/>
            <w:hideMark/>
          </w:tcPr>
          <w:p w:rsidR="00C21C85" w:rsidRPr="00C21C85" w:rsidRDefault="00C21C85" w:rsidP="00C21C85">
            <w:pPr>
              <w:spacing w:after="0" w:line="240" w:lineRule="auto"/>
              <w:rPr>
                <w:rFonts w:ascii="Times New Roman" w:eastAsia="Times New Roman" w:hAnsi="Times New Roman"/>
                <w:sz w:val="18"/>
                <w:szCs w:val="18"/>
                <w:lang w:eastAsia="ru-RU"/>
              </w:rPr>
            </w:pPr>
            <w:r w:rsidRPr="00C21C85">
              <w:rPr>
                <w:rFonts w:ascii="Times New Roman" w:eastAsia="Times New Roman" w:hAnsi="Times New Roman"/>
                <w:sz w:val="18"/>
                <w:szCs w:val="18"/>
                <w:lang w:eastAsia="ru-RU"/>
              </w:rPr>
              <w:t>55 000,00</w:t>
            </w:r>
          </w:p>
        </w:tc>
      </w:tr>
    </w:tbl>
    <w:p w:rsidR="00C21C85" w:rsidRDefault="00C21C85" w:rsidP="00E432EF">
      <w:pPr>
        <w:spacing w:after="0" w:line="240" w:lineRule="auto"/>
        <w:ind w:firstLine="708"/>
        <w:jc w:val="both"/>
        <w:rPr>
          <w:rFonts w:ascii="Times New Roman" w:hAnsi="Times New Roman"/>
          <w:b/>
          <w:sz w:val="24"/>
          <w:szCs w:val="24"/>
        </w:rPr>
      </w:pPr>
    </w:p>
    <w:p w:rsidR="00FE54A3" w:rsidRPr="008D4B4D" w:rsidRDefault="00FA3563" w:rsidP="006049E8">
      <w:pPr>
        <w:pStyle w:val="ab"/>
        <w:numPr>
          <w:ilvl w:val="0"/>
          <w:numId w:val="1"/>
        </w:numPr>
        <w:tabs>
          <w:tab w:val="center" w:pos="1134"/>
        </w:tabs>
        <w:spacing w:after="0" w:line="240" w:lineRule="auto"/>
        <w:ind w:right="142" w:hanging="11"/>
        <w:jc w:val="both"/>
        <w:rPr>
          <w:rFonts w:ascii="Times New Roman" w:hAnsi="Times New Roman"/>
          <w:sz w:val="24"/>
          <w:szCs w:val="24"/>
          <w:lang w:val="kk-KZ"/>
        </w:rPr>
      </w:pPr>
      <w:r w:rsidRPr="008D4B4D">
        <w:rPr>
          <w:rFonts w:ascii="Times New Roman" w:hAnsi="Times New Roman"/>
          <w:sz w:val="24"/>
          <w:szCs w:val="24"/>
          <w:lang w:val="kk-KZ"/>
        </w:rPr>
        <w:lastRenderedPageBreak/>
        <w:t>У</w:t>
      </w:r>
      <w:r w:rsidR="00FE54A3" w:rsidRPr="008D4B4D">
        <w:rPr>
          <w:rFonts w:ascii="Times New Roman" w:hAnsi="Times New Roman"/>
          <w:sz w:val="24"/>
          <w:szCs w:val="24"/>
          <w:lang w:val="kk-KZ"/>
        </w:rPr>
        <w:t>словия поставки:</w:t>
      </w:r>
    </w:p>
    <w:p w:rsidR="00FE54A3" w:rsidRPr="008D4B4D" w:rsidRDefault="00FA3563" w:rsidP="006049E8">
      <w:pPr>
        <w:spacing w:after="0" w:line="240" w:lineRule="auto"/>
        <w:ind w:firstLine="400"/>
        <w:jc w:val="both"/>
        <w:rPr>
          <w:rFonts w:ascii="Times New Roman" w:hAnsi="Times New Roman"/>
          <w:b/>
          <w:color w:val="000000"/>
          <w:sz w:val="24"/>
          <w:szCs w:val="24"/>
          <w:u w:val="single"/>
        </w:rPr>
      </w:pPr>
      <w:r w:rsidRPr="008D4B4D">
        <w:rPr>
          <w:rFonts w:ascii="Times New Roman" w:hAnsi="Times New Roman"/>
          <w:color w:val="000000"/>
          <w:sz w:val="24"/>
          <w:szCs w:val="24"/>
          <w:lang w:val="kk-KZ"/>
        </w:rPr>
        <w:t>П</w:t>
      </w:r>
      <w:r w:rsidR="00FE54A3" w:rsidRPr="008D4B4D">
        <w:rPr>
          <w:rFonts w:ascii="Times New Roman" w:hAnsi="Times New Roman"/>
          <w:spacing w:val="2"/>
          <w:sz w:val="24"/>
          <w:szCs w:val="24"/>
          <w:lang w:val="kk-KZ"/>
        </w:rPr>
        <w:t xml:space="preserve">оставка </w:t>
      </w:r>
      <w:r w:rsidR="00215604">
        <w:rPr>
          <w:rFonts w:ascii="Times New Roman" w:hAnsi="Times New Roman"/>
          <w:spacing w:val="2"/>
          <w:sz w:val="24"/>
          <w:szCs w:val="24"/>
        </w:rPr>
        <w:t>на условиях ИНКОТЕРМС 20</w:t>
      </w:r>
      <w:r w:rsidR="00215604">
        <w:rPr>
          <w:rFonts w:ascii="Times New Roman" w:hAnsi="Times New Roman"/>
          <w:spacing w:val="2"/>
          <w:sz w:val="24"/>
          <w:szCs w:val="24"/>
          <w:lang w:val="kk-KZ"/>
        </w:rPr>
        <w:t>2</w:t>
      </w:r>
      <w:r w:rsidR="00FE54A3" w:rsidRPr="008D4B4D">
        <w:rPr>
          <w:rFonts w:ascii="Times New Roman" w:hAnsi="Times New Roman"/>
          <w:spacing w:val="2"/>
          <w:sz w:val="24"/>
          <w:szCs w:val="24"/>
        </w:rPr>
        <w:t>0</w:t>
      </w:r>
      <w:r w:rsidR="00233390" w:rsidRPr="008D4B4D">
        <w:rPr>
          <w:rFonts w:ascii="Times New Roman" w:hAnsi="Times New Roman"/>
          <w:spacing w:val="2"/>
          <w:sz w:val="24"/>
          <w:szCs w:val="24"/>
        </w:rPr>
        <w:t xml:space="preserve"> в течении пяти календарных дней с момента получения заявки от заказчика</w:t>
      </w:r>
      <w:r w:rsidR="00FE54A3" w:rsidRPr="008D4B4D">
        <w:rPr>
          <w:rFonts w:ascii="Times New Roman" w:hAnsi="Times New Roman"/>
          <w:spacing w:val="2"/>
          <w:sz w:val="24"/>
          <w:szCs w:val="24"/>
        </w:rPr>
        <w:t xml:space="preserve">  (город Алматы, улица </w:t>
      </w:r>
      <w:r w:rsidR="00390E74">
        <w:rPr>
          <w:rFonts w:ascii="Times New Roman" w:hAnsi="Times New Roman"/>
          <w:spacing w:val="2"/>
          <w:sz w:val="24"/>
          <w:szCs w:val="24"/>
        </w:rPr>
        <w:t>Жубанова 11</w:t>
      </w:r>
      <w:r w:rsidR="00FE54A3" w:rsidRPr="008D4B4D">
        <w:rPr>
          <w:rFonts w:ascii="Times New Roman" w:hAnsi="Times New Roman"/>
          <w:spacing w:val="2"/>
          <w:sz w:val="24"/>
          <w:szCs w:val="24"/>
        </w:rPr>
        <w:t xml:space="preserve">) включая все затраты потенциального поставщика на транспортировку, страхование, уплату таможенных пошлин, НДС и других налогов, платежей и сборов, и другие расходы, </w:t>
      </w:r>
      <w:r w:rsidR="00FE54A3" w:rsidRPr="008D4B4D">
        <w:rPr>
          <w:rStyle w:val="s0"/>
          <w:b/>
          <w:sz w:val="24"/>
          <w:szCs w:val="24"/>
          <w:u w:val="single"/>
        </w:rPr>
        <w:t>Представление потенциальным поставщиком ценового предложения является формой выражения его согласия осуществить поставку товара с соблюдением условий запроса и типового договора закупа, оплата производится по мере поступления бюджетных средств.</w:t>
      </w:r>
    </w:p>
    <w:p w:rsidR="00FE54A3" w:rsidRPr="008D4B4D" w:rsidRDefault="006049E8" w:rsidP="004D6897">
      <w:pPr>
        <w:pStyle w:val="a8"/>
        <w:spacing w:before="0" w:beforeAutospacing="0" w:after="0" w:afterAutospacing="0"/>
        <w:ind w:firstLine="708"/>
        <w:jc w:val="both"/>
        <w:textAlignment w:val="baseline"/>
        <w:rPr>
          <w:spacing w:val="2"/>
          <w:lang w:val="kk-KZ"/>
        </w:rPr>
      </w:pPr>
      <w:r w:rsidRPr="008D4B4D">
        <w:rPr>
          <w:spacing w:val="2"/>
          <w:lang w:val="kk-KZ"/>
        </w:rPr>
        <w:t>2</w:t>
      </w:r>
      <w:r w:rsidR="00FE54A3" w:rsidRPr="008D4B4D">
        <w:rPr>
          <w:spacing w:val="2"/>
          <w:lang w:val="kk-KZ"/>
        </w:rPr>
        <w:t>) место представления (приема) документов и окончательный срок подачи ценовых предложений;</w:t>
      </w:r>
      <w:bookmarkStart w:id="0" w:name="z199"/>
      <w:bookmarkEnd w:id="0"/>
    </w:p>
    <w:p w:rsidR="00FE54A3" w:rsidRPr="008D4B4D" w:rsidRDefault="00390E74" w:rsidP="004D6897">
      <w:pPr>
        <w:spacing w:after="0" w:line="240" w:lineRule="auto"/>
        <w:rPr>
          <w:rFonts w:ascii="Times New Roman" w:hAnsi="Times New Roman"/>
          <w:sz w:val="24"/>
          <w:szCs w:val="24"/>
        </w:rPr>
      </w:pPr>
      <w:r>
        <w:rPr>
          <w:rFonts w:ascii="Times New Roman" w:hAnsi="Times New Roman"/>
          <w:sz w:val="24"/>
          <w:szCs w:val="24"/>
          <w:lang w:val="kk-KZ"/>
        </w:rPr>
        <w:t>ГКП</w:t>
      </w:r>
      <w:r w:rsidR="00AB06A3" w:rsidRPr="008D4B4D">
        <w:rPr>
          <w:rFonts w:ascii="Times New Roman" w:hAnsi="Times New Roman"/>
          <w:sz w:val="24"/>
          <w:szCs w:val="24"/>
        </w:rPr>
        <w:t xml:space="preserve"> на ПХВ «</w:t>
      </w:r>
      <w:r>
        <w:rPr>
          <w:rFonts w:ascii="Times New Roman" w:hAnsi="Times New Roman"/>
          <w:sz w:val="24"/>
          <w:szCs w:val="24"/>
        </w:rPr>
        <w:t>Городской перинатальный центр» У</w:t>
      </w:r>
      <w:r w:rsidR="00AB06A3" w:rsidRPr="008D4B4D">
        <w:rPr>
          <w:rFonts w:ascii="Times New Roman" w:hAnsi="Times New Roman"/>
          <w:sz w:val="24"/>
          <w:szCs w:val="24"/>
        </w:rPr>
        <w:t>З города Алматы</w:t>
      </w:r>
      <w:r w:rsidR="00FE54A3" w:rsidRPr="008D4B4D">
        <w:rPr>
          <w:rFonts w:ascii="Times New Roman" w:hAnsi="Times New Roman"/>
          <w:sz w:val="24"/>
          <w:szCs w:val="24"/>
        </w:rPr>
        <w:t>, ул</w:t>
      </w:r>
      <w:r w:rsidR="00C064E3" w:rsidRPr="008D4B4D">
        <w:rPr>
          <w:rFonts w:ascii="Times New Roman" w:hAnsi="Times New Roman"/>
          <w:sz w:val="24"/>
          <w:szCs w:val="24"/>
        </w:rPr>
        <w:t xml:space="preserve">ица </w:t>
      </w:r>
      <w:r>
        <w:rPr>
          <w:rFonts w:ascii="Times New Roman" w:hAnsi="Times New Roman"/>
          <w:sz w:val="24"/>
          <w:szCs w:val="24"/>
        </w:rPr>
        <w:t>Жубанова 11</w:t>
      </w:r>
      <w:r w:rsidR="00FE54A3" w:rsidRPr="008D4B4D">
        <w:rPr>
          <w:rFonts w:ascii="Times New Roman" w:hAnsi="Times New Roman"/>
          <w:sz w:val="24"/>
          <w:szCs w:val="24"/>
        </w:rPr>
        <w:t xml:space="preserve">, </w:t>
      </w:r>
      <w:r>
        <w:rPr>
          <w:rFonts w:ascii="Times New Roman" w:hAnsi="Times New Roman"/>
          <w:sz w:val="24"/>
          <w:szCs w:val="24"/>
        </w:rPr>
        <w:t>1</w:t>
      </w:r>
      <w:r w:rsidR="00FE54A3" w:rsidRPr="008D4B4D">
        <w:rPr>
          <w:rFonts w:ascii="Times New Roman" w:hAnsi="Times New Roman"/>
          <w:sz w:val="24"/>
          <w:szCs w:val="24"/>
        </w:rPr>
        <w:t xml:space="preserve">, отдел </w:t>
      </w:r>
      <w:r>
        <w:rPr>
          <w:rFonts w:ascii="Times New Roman" w:hAnsi="Times New Roman"/>
          <w:sz w:val="24"/>
          <w:szCs w:val="24"/>
        </w:rPr>
        <w:t>юридический</w:t>
      </w:r>
      <w:r w:rsidR="00FE54A3" w:rsidRPr="008D4B4D">
        <w:rPr>
          <w:rFonts w:ascii="Times New Roman" w:hAnsi="Times New Roman"/>
          <w:sz w:val="24"/>
          <w:szCs w:val="24"/>
        </w:rPr>
        <w:t>, окончательный срок представления</w:t>
      </w:r>
      <w:r w:rsidR="007C0D57" w:rsidRPr="008D4B4D">
        <w:rPr>
          <w:rFonts w:ascii="Times New Roman" w:hAnsi="Times New Roman"/>
          <w:sz w:val="24"/>
          <w:szCs w:val="24"/>
        </w:rPr>
        <w:t xml:space="preserve"> подачи ценовых предложений до </w:t>
      </w:r>
      <w:r w:rsidR="001212EF">
        <w:rPr>
          <w:rFonts w:ascii="Times New Roman" w:hAnsi="Times New Roman"/>
          <w:sz w:val="24"/>
          <w:szCs w:val="24"/>
        </w:rPr>
        <w:t>11</w:t>
      </w:r>
      <w:r w:rsidR="00FE54A3" w:rsidRPr="008D4B4D">
        <w:rPr>
          <w:rFonts w:ascii="Times New Roman" w:hAnsi="Times New Roman"/>
          <w:sz w:val="24"/>
          <w:szCs w:val="24"/>
        </w:rPr>
        <w:t xml:space="preserve">:00 (времени Нур-Султан) </w:t>
      </w:r>
      <w:r w:rsidR="001E333F" w:rsidRPr="008D4B4D">
        <w:rPr>
          <w:rFonts w:ascii="Times New Roman" w:hAnsi="Times New Roman"/>
          <w:sz w:val="24"/>
          <w:szCs w:val="24"/>
        </w:rPr>
        <w:t>«</w:t>
      </w:r>
      <w:r>
        <w:rPr>
          <w:rFonts w:ascii="Times New Roman" w:hAnsi="Times New Roman"/>
          <w:sz w:val="24"/>
          <w:szCs w:val="24"/>
          <w:lang w:val="kk-KZ"/>
        </w:rPr>
        <w:t>0</w:t>
      </w:r>
      <w:r w:rsidR="005D2B6E">
        <w:rPr>
          <w:rFonts w:ascii="Times New Roman" w:hAnsi="Times New Roman"/>
          <w:sz w:val="24"/>
          <w:szCs w:val="24"/>
          <w:lang w:val="kk-KZ"/>
        </w:rPr>
        <w:t>3</w:t>
      </w:r>
      <w:r w:rsidR="001E333F" w:rsidRPr="008D4B4D">
        <w:rPr>
          <w:rFonts w:ascii="Times New Roman" w:hAnsi="Times New Roman"/>
          <w:sz w:val="24"/>
          <w:szCs w:val="24"/>
        </w:rPr>
        <w:t xml:space="preserve">» </w:t>
      </w:r>
      <w:r>
        <w:rPr>
          <w:rFonts w:ascii="Times New Roman" w:hAnsi="Times New Roman"/>
          <w:sz w:val="24"/>
          <w:szCs w:val="24"/>
        </w:rPr>
        <w:t xml:space="preserve">марта </w:t>
      </w:r>
      <w:r w:rsidR="00FE54A3" w:rsidRPr="008D4B4D">
        <w:rPr>
          <w:rFonts w:ascii="Times New Roman" w:hAnsi="Times New Roman"/>
          <w:sz w:val="24"/>
          <w:szCs w:val="24"/>
        </w:rPr>
        <w:t>202</w:t>
      </w:r>
      <w:r>
        <w:rPr>
          <w:rFonts w:ascii="Times New Roman" w:hAnsi="Times New Roman"/>
          <w:sz w:val="24"/>
          <w:szCs w:val="24"/>
        </w:rPr>
        <w:t>2</w:t>
      </w:r>
      <w:r w:rsidR="00FE54A3" w:rsidRPr="008D4B4D">
        <w:rPr>
          <w:rFonts w:ascii="Times New Roman" w:hAnsi="Times New Roman"/>
          <w:sz w:val="24"/>
          <w:szCs w:val="24"/>
        </w:rPr>
        <w:t xml:space="preserve"> года.</w:t>
      </w:r>
    </w:p>
    <w:p w:rsidR="00D73518" w:rsidRPr="008D4B4D" w:rsidRDefault="006049E8" w:rsidP="00052290">
      <w:pPr>
        <w:spacing w:after="0" w:line="240" w:lineRule="auto"/>
        <w:ind w:firstLine="708"/>
        <w:rPr>
          <w:rFonts w:ascii="Times New Roman" w:hAnsi="Times New Roman"/>
          <w:sz w:val="24"/>
          <w:szCs w:val="24"/>
          <w:lang w:val="kk-KZ"/>
        </w:rPr>
      </w:pPr>
      <w:r w:rsidRPr="008D4B4D">
        <w:rPr>
          <w:rFonts w:ascii="Times New Roman" w:hAnsi="Times New Roman"/>
          <w:sz w:val="24"/>
          <w:szCs w:val="24"/>
        </w:rPr>
        <w:t>3</w:t>
      </w:r>
      <w:r w:rsidR="00FE54A3" w:rsidRPr="008D4B4D">
        <w:rPr>
          <w:rFonts w:ascii="Times New Roman" w:hAnsi="Times New Roman"/>
          <w:sz w:val="24"/>
          <w:szCs w:val="24"/>
        </w:rPr>
        <w:t xml:space="preserve">) дата, время и место вскрытия конвертов с ценовыми предложениями - </w:t>
      </w:r>
      <w:r w:rsidR="007C0D57" w:rsidRPr="008D4B4D">
        <w:rPr>
          <w:rFonts w:ascii="Times New Roman" w:hAnsi="Times New Roman"/>
          <w:sz w:val="24"/>
          <w:szCs w:val="24"/>
        </w:rPr>
        <w:t>1</w:t>
      </w:r>
      <w:r w:rsidR="001212EF">
        <w:rPr>
          <w:rFonts w:ascii="Times New Roman" w:hAnsi="Times New Roman"/>
          <w:sz w:val="24"/>
          <w:szCs w:val="24"/>
          <w:lang w:val="kk-KZ"/>
        </w:rPr>
        <w:t>2</w:t>
      </w:r>
      <w:r w:rsidR="00FE54A3" w:rsidRPr="008D4B4D">
        <w:rPr>
          <w:rFonts w:ascii="Times New Roman" w:hAnsi="Times New Roman"/>
          <w:sz w:val="24"/>
          <w:szCs w:val="24"/>
        </w:rPr>
        <w:t xml:space="preserve">:00 (времени Нур-Султан) </w:t>
      </w:r>
      <w:r w:rsidR="00390E74">
        <w:rPr>
          <w:rFonts w:ascii="Times New Roman" w:hAnsi="Times New Roman"/>
          <w:sz w:val="24"/>
          <w:szCs w:val="24"/>
        </w:rPr>
        <w:t xml:space="preserve"> </w:t>
      </w:r>
      <w:r w:rsidR="00FE54A3" w:rsidRPr="008D4B4D">
        <w:rPr>
          <w:rFonts w:ascii="Times New Roman" w:hAnsi="Times New Roman"/>
          <w:sz w:val="24"/>
          <w:szCs w:val="24"/>
        </w:rPr>
        <w:t>«</w:t>
      </w:r>
      <w:bookmarkStart w:id="1" w:name="_GoBack"/>
      <w:bookmarkEnd w:id="1"/>
      <w:r w:rsidR="00390E74">
        <w:rPr>
          <w:rFonts w:ascii="Times New Roman" w:hAnsi="Times New Roman"/>
          <w:sz w:val="24"/>
          <w:szCs w:val="24"/>
          <w:lang w:val="kk-KZ"/>
        </w:rPr>
        <w:t>0</w:t>
      </w:r>
      <w:r w:rsidR="005D2B6E">
        <w:rPr>
          <w:rFonts w:ascii="Times New Roman" w:hAnsi="Times New Roman"/>
          <w:sz w:val="24"/>
          <w:szCs w:val="24"/>
          <w:lang w:val="kk-KZ"/>
        </w:rPr>
        <w:t>3</w:t>
      </w:r>
      <w:r w:rsidR="00FE54A3" w:rsidRPr="008D4B4D">
        <w:rPr>
          <w:rFonts w:ascii="Times New Roman" w:hAnsi="Times New Roman"/>
          <w:sz w:val="24"/>
          <w:szCs w:val="24"/>
        </w:rPr>
        <w:t xml:space="preserve">» </w:t>
      </w:r>
      <w:r w:rsidR="00390E74">
        <w:rPr>
          <w:rFonts w:ascii="Times New Roman" w:hAnsi="Times New Roman"/>
          <w:sz w:val="24"/>
          <w:szCs w:val="24"/>
        </w:rPr>
        <w:t>марта</w:t>
      </w:r>
      <w:r w:rsidR="00FE54A3" w:rsidRPr="008D4B4D">
        <w:rPr>
          <w:rFonts w:ascii="Times New Roman" w:hAnsi="Times New Roman"/>
          <w:sz w:val="24"/>
          <w:szCs w:val="24"/>
        </w:rPr>
        <w:t xml:space="preserve"> 202</w:t>
      </w:r>
      <w:r w:rsidR="00390E74">
        <w:rPr>
          <w:rFonts w:ascii="Times New Roman" w:hAnsi="Times New Roman"/>
          <w:sz w:val="24"/>
          <w:szCs w:val="24"/>
        </w:rPr>
        <w:t>2</w:t>
      </w:r>
      <w:r w:rsidR="00FE54A3" w:rsidRPr="008D4B4D">
        <w:rPr>
          <w:rFonts w:ascii="Times New Roman" w:hAnsi="Times New Roman"/>
          <w:sz w:val="24"/>
          <w:szCs w:val="24"/>
        </w:rPr>
        <w:t xml:space="preserve"> года, </w:t>
      </w:r>
      <w:r w:rsidR="00390E74">
        <w:rPr>
          <w:rFonts w:ascii="Times New Roman" w:hAnsi="Times New Roman"/>
          <w:sz w:val="24"/>
          <w:szCs w:val="24"/>
          <w:lang w:val="kk-KZ"/>
        </w:rPr>
        <w:t>ГКП</w:t>
      </w:r>
      <w:r w:rsidR="00390E74" w:rsidRPr="008D4B4D">
        <w:rPr>
          <w:rFonts w:ascii="Times New Roman" w:hAnsi="Times New Roman"/>
          <w:sz w:val="24"/>
          <w:szCs w:val="24"/>
        </w:rPr>
        <w:t xml:space="preserve"> на ПХВ «</w:t>
      </w:r>
      <w:r w:rsidR="00390E74">
        <w:rPr>
          <w:rFonts w:ascii="Times New Roman" w:hAnsi="Times New Roman"/>
          <w:sz w:val="24"/>
          <w:szCs w:val="24"/>
        </w:rPr>
        <w:t>Городской перинатальный центр» У</w:t>
      </w:r>
      <w:r w:rsidR="00390E74" w:rsidRPr="008D4B4D">
        <w:rPr>
          <w:rFonts w:ascii="Times New Roman" w:hAnsi="Times New Roman"/>
          <w:sz w:val="24"/>
          <w:szCs w:val="24"/>
        </w:rPr>
        <w:t xml:space="preserve">З города Алматы, улица </w:t>
      </w:r>
      <w:r w:rsidR="00390E74">
        <w:rPr>
          <w:rFonts w:ascii="Times New Roman" w:hAnsi="Times New Roman"/>
          <w:sz w:val="24"/>
          <w:szCs w:val="24"/>
        </w:rPr>
        <w:t>Жубанова 11</w:t>
      </w:r>
      <w:r w:rsidR="00390E74" w:rsidRPr="008D4B4D">
        <w:rPr>
          <w:rFonts w:ascii="Times New Roman" w:hAnsi="Times New Roman"/>
          <w:sz w:val="24"/>
          <w:szCs w:val="24"/>
        </w:rPr>
        <w:t xml:space="preserve">, </w:t>
      </w:r>
      <w:r w:rsidR="00390E74">
        <w:rPr>
          <w:rFonts w:ascii="Times New Roman" w:hAnsi="Times New Roman"/>
          <w:sz w:val="24"/>
          <w:szCs w:val="24"/>
        </w:rPr>
        <w:t>1</w:t>
      </w:r>
      <w:r w:rsidR="00390E74" w:rsidRPr="008D4B4D">
        <w:rPr>
          <w:rFonts w:ascii="Times New Roman" w:hAnsi="Times New Roman"/>
          <w:sz w:val="24"/>
          <w:szCs w:val="24"/>
        </w:rPr>
        <w:t xml:space="preserve">, отдел </w:t>
      </w:r>
      <w:r w:rsidR="00390E74">
        <w:rPr>
          <w:rFonts w:ascii="Times New Roman" w:hAnsi="Times New Roman"/>
          <w:sz w:val="24"/>
          <w:szCs w:val="24"/>
        </w:rPr>
        <w:t>юридический</w:t>
      </w:r>
      <w:r w:rsidR="00C064E3" w:rsidRPr="008D4B4D">
        <w:rPr>
          <w:rFonts w:ascii="Times New Roman" w:hAnsi="Times New Roman"/>
          <w:sz w:val="24"/>
          <w:szCs w:val="24"/>
        </w:rPr>
        <w:t>.</w:t>
      </w:r>
    </w:p>
    <w:p w:rsidR="00F86C8A" w:rsidRPr="008D4B4D" w:rsidRDefault="00F86C8A" w:rsidP="004D6897">
      <w:pPr>
        <w:pStyle w:val="a8"/>
        <w:spacing w:before="0" w:beforeAutospacing="0" w:after="0" w:afterAutospacing="0"/>
        <w:ind w:firstLine="708"/>
        <w:jc w:val="both"/>
        <w:textAlignment w:val="baseline"/>
        <w:rPr>
          <w:color w:val="000000"/>
          <w:spacing w:val="2"/>
          <w:shd w:val="clear" w:color="auto" w:fill="FFFFFF"/>
        </w:rPr>
      </w:pPr>
      <w:r w:rsidRPr="008D4B4D">
        <w:rPr>
          <w:spacing w:val="2"/>
        </w:rPr>
        <w:t xml:space="preserve">4) </w:t>
      </w:r>
      <w:r w:rsidRPr="008D4B4D">
        <w:rPr>
          <w:color w:val="000000"/>
          <w:spacing w:val="2"/>
          <w:shd w:val="clear" w:color="auto" w:fill="FFFFFF"/>
        </w:rPr>
        <w:t xml:space="preserve">Квалификационные требования, предъявляемые к </w:t>
      </w:r>
      <w:r w:rsidR="004D6897" w:rsidRPr="008D4B4D">
        <w:rPr>
          <w:color w:val="000000"/>
          <w:spacing w:val="2"/>
          <w:shd w:val="clear" w:color="auto" w:fill="FFFFFF"/>
        </w:rPr>
        <w:t>потенциальному поставщику должны</w:t>
      </w:r>
      <w:r w:rsidRPr="008D4B4D">
        <w:rPr>
          <w:color w:val="000000"/>
          <w:spacing w:val="2"/>
          <w:shd w:val="clear" w:color="auto" w:fill="FFFFFF"/>
        </w:rPr>
        <w:t xml:space="preserve"> соответствовать Главе 3 Правил</w:t>
      </w:r>
      <w:r w:rsidR="004D6897" w:rsidRPr="008D4B4D">
        <w:rPr>
          <w:color w:val="000000"/>
          <w:spacing w:val="2"/>
          <w:shd w:val="clear" w:color="auto" w:fill="FFFFFF"/>
        </w:rPr>
        <w:t>.</w:t>
      </w:r>
    </w:p>
    <w:p w:rsidR="00F86C8A" w:rsidRPr="008D4B4D" w:rsidRDefault="00F86C8A" w:rsidP="004D6897">
      <w:pPr>
        <w:pStyle w:val="a8"/>
        <w:spacing w:before="0" w:beforeAutospacing="0" w:after="0" w:afterAutospacing="0"/>
        <w:ind w:firstLine="708"/>
        <w:jc w:val="both"/>
        <w:textAlignment w:val="baseline"/>
        <w:rPr>
          <w:spacing w:val="2"/>
          <w:lang w:val="kk-KZ"/>
        </w:rPr>
      </w:pPr>
      <w:r w:rsidRPr="008D4B4D">
        <w:rPr>
          <w:color w:val="000000"/>
          <w:spacing w:val="2"/>
          <w:shd w:val="clear" w:color="auto" w:fill="FFFFFF"/>
        </w:rPr>
        <w:t>5) Требования к лекарственным средствам и медицинским изделиям, приобретаемым в рамках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 должны соответствовать Главе 4 Правил</w:t>
      </w:r>
      <w:r w:rsidR="004D6897" w:rsidRPr="008D4B4D">
        <w:rPr>
          <w:color w:val="000000"/>
          <w:spacing w:val="2"/>
          <w:shd w:val="clear" w:color="auto" w:fill="FFFFFF"/>
        </w:rPr>
        <w:t>.</w:t>
      </w:r>
    </w:p>
    <w:p w:rsidR="00F86C8A" w:rsidRPr="008D4B4D" w:rsidRDefault="00F86C8A" w:rsidP="004D6897">
      <w:pPr>
        <w:spacing w:after="0" w:line="240" w:lineRule="auto"/>
        <w:ind w:firstLine="400"/>
        <w:jc w:val="both"/>
        <w:rPr>
          <w:rStyle w:val="s0"/>
          <w:color w:val="auto"/>
          <w:sz w:val="24"/>
          <w:szCs w:val="24"/>
        </w:rPr>
      </w:pPr>
      <w:r w:rsidRPr="008D4B4D">
        <w:rPr>
          <w:rStyle w:val="s0"/>
          <w:color w:val="auto"/>
          <w:sz w:val="24"/>
          <w:szCs w:val="24"/>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w:t>
      </w:r>
      <w:r w:rsidRPr="008D4B4D">
        <w:rPr>
          <w:rStyle w:val="s0"/>
          <w:b/>
          <w:color w:val="auto"/>
          <w:sz w:val="24"/>
          <w:szCs w:val="24"/>
        </w:rPr>
        <w:t>запечатанном виде</w:t>
      </w:r>
      <w:r w:rsidRPr="008D4B4D">
        <w:rPr>
          <w:rStyle w:val="s0"/>
          <w:color w:val="auto"/>
          <w:sz w:val="24"/>
          <w:szCs w:val="24"/>
        </w:rPr>
        <w:t xml:space="preserve">. </w:t>
      </w:r>
    </w:p>
    <w:p w:rsidR="005E47BB" w:rsidRDefault="005E47BB" w:rsidP="003E569C">
      <w:pPr>
        <w:spacing w:after="0" w:line="240" w:lineRule="auto"/>
        <w:ind w:firstLine="400"/>
        <w:jc w:val="both"/>
        <w:rPr>
          <w:sz w:val="24"/>
          <w:szCs w:val="24"/>
          <w:lang w:val="kk-KZ"/>
        </w:rPr>
      </w:pPr>
    </w:p>
    <w:p w:rsidR="00633FA4" w:rsidRPr="00633FA4" w:rsidRDefault="00633FA4" w:rsidP="003E569C">
      <w:pPr>
        <w:spacing w:after="0" w:line="240" w:lineRule="auto"/>
        <w:ind w:firstLine="400"/>
        <w:jc w:val="both"/>
        <w:rPr>
          <w:rFonts w:ascii="Times New Roman" w:hAnsi="Times New Roman"/>
          <w:b/>
          <w:sz w:val="24"/>
          <w:szCs w:val="24"/>
          <w:lang w:val="kk-KZ"/>
        </w:rPr>
      </w:pPr>
      <w:r w:rsidRPr="00633FA4">
        <w:rPr>
          <w:rFonts w:ascii="Times New Roman" w:hAnsi="Times New Roman"/>
          <w:b/>
          <w:sz w:val="24"/>
          <w:szCs w:val="24"/>
          <w:lang w:val="kk-KZ"/>
        </w:rPr>
        <w:t xml:space="preserve">Состав комиссии: </w:t>
      </w:r>
    </w:p>
    <w:p w:rsidR="00633FA4" w:rsidRPr="00633FA4" w:rsidRDefault="00633FA4" w:rsidP="00633FA4">
      <w:pPr>
        <w:pStyle w:val="3"/>
        <w:rPr>
          <w:sz w:val="24"/>
          <w:szCs w:val="24"/>
        </w:rPr>
      </w:pPr>
      <w:r w:rsidRPr="00633FA4">
        <w:rPr>
          <w:sz w:val="24"/>
          <w:szCs w:val="24"/>
          <w:lang w:val="kk-KZ"/>
        </w:rPr>
        <w:t xml:space="preserve">         </w:t>
      </w:r>
      <w:r w:rsidR="00470413">
        <w:rPr>
          <w:sz w:val="24"/>
          <w:szCs w:val="24"/>
          <w:lang w:val="kk-KZ"/>
        </w:rPr>
        <w:t xml:space="preserve"> </w:t>
      </w:r>
      <w:r w:rsidRPr="00633FA4">
        <w:rPr>
          <w:sz w:val="24"/>
          <w:szCs w:val="24"/>
          <w:lang w:val="kk-KZ"/>
        </w:rPr>
        <w:t xml:space="preserve">   Исаева Ж.Т. </w:t>
      </w:r>
      <w:r w:rsidRPr="00633FA4">
        <w:rPr>
          <w:sz w:val="24"/>
          <w:szCs w:val="24"/>
        </w:rPr>
        <w:t xml:space="preserve"> (</w:t>
      </w:r>
      <w:r w:rsidRPr="00633FA4">
        <w:rPr>
          <w:sz w:val="24"/>
          <w:szCs w:val="24"/>
          <w:lang w:val="kk-KZ"/>
        </w:rPr>
        <w:t>зам.</w:t>
      </w:r>
      <w:r w:rsidRPr="00633FA4">
        <w:rPr>
          <w:sz w:val="24"/>
          <w:szCs w:val="24"/>
        </w:rPr>
        <w:t>директора) – председатель комиссии____</w:t>
      </w:r>
    </w:p>
    <w:p w:rsidR="00633FA4" w:rsidRPr="00633FA4" w:rsidRDefault="00633FA4" w:rsidP="00633FA4">
      <w:pPr>
        <w:pStyle w:val="3"/>
        <w:rPr>
          <w:sz w:val="24"/>
          <w:szCs w:val="24"/>
        </w:rPr>
      </w:pPr>
      <w:r w:rsidRPr="00633FA4">
        <w:rPr>
          <w:sz w:val="24"/>
          <w:szCs w:val="24"/>
        </w:rPr>
        <w:t xml:space="preserve">             Убулова Г.Т. (главный бухгалтер)  – заместитель председателя______</w:t>
      </w:r>
    </w:p>
    <w:p w:rsidR="00633FA4" w:rsidRPr="00633FA4" w:rsidRDefault="00633FA4" w:rsidP="00633FA4">
      <w:pPr>
        <w:pStyle w:val="3"/>
        <w:rPr>
          <w:sz w:val="24"/>
          <w:szCs w:val="24"/>
        </w:rPr>
      </w:pPr>
      <w:r w:rsidRPr="00633FA4">
        <w:rPr>
          <w:sz w:val="24"/>
          <w:szCs w:val="24"/>
        </w:rPr>
        <w:t xml:space="preserve">         </w:t>
      </w:r>
      <w:r w:rsidR="00470413">
        <w:rPr>
          <w:sz w:val="24"/>
          <w:szCs w:val="24"/>
        </w:rPr>
        <w:t xml:space="preserve">  </w:t>
      </w:r>
      <w:r w:rsidRPr="00633FA4">
        <w:rPr>
          <w:sz w:val="24"/>
          <w:szCs w:val="24"/>
        </w:rPr>
        <w:t xml:space="preserve"> Рахметдилдаеву Т.А.  (</w:t>
      </w:r>
      <w:r w:rsidRPr="00633FA4">
        <w:rPr>
          <w:sz w:val="24"/>
          <w:szCs w:val="24"/>
          <w:lang w:val="kk-KZ"/>
        </w:rPr>
        <w:t>гл.акушерка</w:t>
      </w:r>
      <w:r w:rsidRPr="00633FA4">
        <w:rPr>
          <w:sz w:val="24"/>
          <w:szCs w:val="24"/>
        </w:rPr>
        <w:t>)  – член комиссии______</w:t>
      </w:r>
    </w:p>
    <w:p w:rsidR="00633FA4" w:rsidRPr="00633FA4" w:rsidRDefault="00633FA4" w:rsidP="00633FA4">
      <w:pPr>
        <w:pStyle w:val="3"/>
        <w:rPr>
          <w:sz w:val="24"/>
          <w:szCs w:val="24"/>
        </w:rPr>
      </w:pPr>
      <w:r w:rsidRPr="00633FA4">
        <w:rPr>
          <w:sz w:val="24"/>
          <w:szCs w:val="24"/>
        </w:rPr>
        <w:t xml:space="preserve">             Оразаева Ж.И  (провизор) – член комиссии___</w:t>
      </w:r>
    </w:p>
    <w:p w:rsidR="00633FA4" w:rsidRPr="00633FA4" w:rsidRDefault="00633FA4" w:rsidP="00633FA4">
      <w:pPr>
        <w:pStyle w:val="3"/>
        <w:rPr>
          <w:sz w:val="24"/>
          <w:szCs w:val="24"/>
        </w:rPr>
      </w:pPr>
      <w:r w:rsidRPr="00633FA4">
        <w:rPr>
          <w:sz w:val="24"/>
          <w:szCs w:val="24"/>
        </w:rPr>
        <w:t xml:space="preserve">             Сарбас А.А. (заведующий отделением ОАРиТН) – член комиссии_____</w:t>
      </w:r>
    </w:p>
    <w:p w:rsidR="00633FA4" w:rsidRPr="00633FA4" w:rsidRDefault="00633FA4" w:rsidP="00633FA4">
      <w:pPr>
        <w:pStyle w:val="3"/>
        <w:rPr>
          <w:sz w:val="24"/>
          <w:szCs w:val="24"/>
        </w:rPr>
      </w:pPr>
      <w:r w:rsidRPr="00633FA4">
        <w:rPr>
          <w:sz w:val="24"/>
          <w:szCs w:val="24"/>
        </w:rPr>
        <w:t xml:space="preserve">             Сабекова А.А. (заведующий лаборатории) – член комиссии____</w:t>
      </w:r>
    </w:p>
    <w:p w:rsidR="00633FA4" w:rsidRPr="00633FA4" w:rsidRDefault="00633FA4" w:rsidP="00633FA4">
      <w:pPr>
        <w:pStyle w:val="3"/>
        <w:rPr>
          <w:sz w:val="24"/>
          <w:szCs w:val="24"/>
        </w:rPr>
      </w:pPr>
      <w:r w:rsidRPr="00633FA4">
        <w:rPr>
          <w:sz w:val="24"/>
          <w:szCs w:val="24"/>
          <w:lang w:val="kk-KZ"/>
        </w:rPr>
        <w:t xml:space="preserve">             Шормаков Д.Б.</w:t>
      </w:r>
      <w:r w:rsidRPr="00633FA4">
        <w:rPr>
          <w:sz w:val="24"/>
          <w:szCs w:val="24"/>
        </w:rPr>
        <w:t xml:space="preserve"> – (юрист) член комиссии______</w:t>
      </w:r>
    </w:p>
    <w:p w:rsidR="00633FA4" w:rsidRPr="00633FA4" w:rsidRDefault="00633FA4" w:rsidP="003A5F38">
      <w:pPr>
        <w:pStyle w:val="3"/>
        <w:rPr>
          <w:sz w:val="24"/>
          <w:szCs w:val="24"/>
        </w:rPr>
      </w:pPr>
      <w:r w:rsidRPr="00633FA4">
        <w:rPr>
          <w:sz w:val="24"/>
          <w:szCs w:val="24"/>
          <w:lang w:val="kk-KZ"/>
        </w:rPr>
        <w:t xml:space="preserve">             Секретать тендерной комиссии: Сатыбалдиева М.А. –государственных закупок</w:t>
      </w:r>
      <w:r w:rsidRPr="00633FA4">
        <w:rPr>
          <w:sz w:val="24"/>
          <w:szCs w:val="24"/>
        </w:rPr>
        <w:t xml:space="preserve"> </w:t>
      </w:r>
    </w:p>
    <w:sectPr w:rsidR="00633FA4" w:rsidRPr="00633FA4" w:rsidSect="00891E83">
      <w:footerReference w:type="default" r:id="rId8"/>
      <w:pgSz w:w="16838" w:h="11906" w:orient="landscape"/>
      <w:pgMar w:top="709" w:right="536" w:bottom="850"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79FB" w:rsidRDefault="007679FB" w:rsidP="00F47EDF">
      <w:pPr>
        <w:spacing w:after="0" w:line="240" w:lineRule="auto"/>
      </w:pPr>
      <w:r>
        <w:separator/>
      </w:r>
    </w:p>
  </w:endnote>
  <w:endnote w:type="continuationSeparator" w:id="1">
    <w:p w:rsidR="007679FB" w:rsidRDefault="007679FB" w:rsidP="00F47E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3947302"/>
    </w:sdtPr>
    <w:sdtContent>
      <w:p w:rsidR="005E47BB" w:rsidRDefault="00DE1BDC">
        <w:pPr>
          <w:pStyle w:val="af1"/>
          <w:jc w:val="right"/>
        </w:pPr>
        <w:r>
          <w:fldChar w:fldCharType="begin"/>
        </w:r>
        <w:r w:rsidR="005E47BB">
          <w:instrText>PAGE   \* MERGEFORMAT</w:instrText>
        </w:r>
        <w:r>
          <w:fldChar w:fldCharType="separate"/>
        </w:r>
        <w:r w:rsidR="005D2B6E">
          <w:rPr>
            <w:noProof/>
          </w:rPr>
          <w:t>15</w:t>
        </w:r>
        <w:r>
          <w:fldChar w:fldCharType="end"/>
        </w:r>
      </w:p>
    </w:sdtContent>
  </w:sdt>
  <w:p w:rsidR="00F86C8A" w:rsidRDefault="00F86C8A">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79FB" w:rsidRDefault="007679FB" w:rsidP="00F47EDF">
      <w:pPr>
        <w:spacing w:after="0" w:line="240" w:lineRule="auto"/>
      </w:pPr>
      <w:r>
        <w:separator/>
      </w:r>
    </w:p>
  </w:footnote>
  <w:footnote w:type="continuationSeparator" w:id="1">
    <w:p w:rsidR="007679FB" w:rsidRDefault="007679FB" w:rsidP="00F47ED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978C0"/>
    <w:multiLevelType w:val="hybridMultilevel"/>
    <w:tmpl w:val="16C4C902"/>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20482"/>
  </w:hdrShapeDefaults>
  <w:footnotePr>
    <w:footnote w:id="0"/>
    <w:footnote w:id="1"/>
  </w:footnotePr>
  <w:endnotePr>
    <w:endnote w:id="0"/>
    <w:endnote w:id="1"/>
  </w:endnotePr>
  <w:compat/>
  <w:rsids>
    <w:rsidRoot w:val="00FB609D"/>
    <w:rsid w:val="0000387B"/>
    <w:rsid w:val="00026A62"/>
    <w:rsid w:val="00044C1D"/>
    <w:rsid w:val="00052290"/>
    <w:rsid w:val="00090F4C"/>
    <w:rsid w:val="00094843"/>
    <w:rsid w:val="000B747D"/>
    <w:rsid w:val="000C2FF0"/>
    <w:rsid w:val="000C6342"/>
    <w:rsid w:val="000C78C6"/>
    <w:rsid w:val="000E3111"/>
    <w:rsid w:val="000F6126"/>
    <w:rsid w:val="00113514"/>
    <w:rsid w:val="00114F8A"/>
    <w:rsid w:val="001212EF"/>
    <w:rsid w:val="00137E58"/>
    <w:rsid w:val="00144B1A"/>
    <w:rsid w:val="00157E78"/>
    <w:rsid w:val="0016357A"/>
    <w:rsid w:val="001A5347"/>
    <w:rsid w:val="001C3EA8"/>
    <w:rsid w:val="001D3945"/>
    <w:rsid w:val="001E333F"/>
    <w:rsid w:val="00202201"/>
    <w:rsid w:val="002111A5"/>
    <w:rsid w:val="00215604"/>
    <w:rsid w:val="00220455"/>
    <w:rsid w:val="00233390"/>
    <w:rsid w:val="00233A6D"/>
    <w:rsid w:val="00246BC3"/>
    <w:rsid w:val="0026229B"/>
    <w:rsid w:val="00264909"/>
    <w:rsid w:val="00264A8B"/>
    <w:rsid w:val="00285C8E"/>
    <w:rsid w:val="002A1FA7"/>
    <w:rsid w:val="002A55B8"/>
    <w:rsid w:val="002A70A4"/>
    <w:rsid w:val="002B0E3E"/>
    <w:rsid w:val="002F43D7"/>
    <w:rsid w:val="003256B5"/>
    <w:rsid w:val="0033770B"/>
    <w:rsid w:val="0034709B"/>
    <w:rsid w:val="00347BE2"/>
    <w:rsid w:val="00353002"/>
    <w:rsid w:val="00363297"/>
    <w:rsid w:val="00371AEA"/>
    <w:rsid w:val="00380024"/>
    <w:rsid w:val="00390E74"/>
    <w:rsid w:val="003A5F38"/>
    <w:rsid w:val="003C10F3"/>
    <w:rsid w:val="003E569C"/>
    <w:rsid w:val="004024D4"/>
    <w:rsid w:val="004621D1"/>
    <w:rsid w:val="0046421E"/>
    <w:rsid w:val="00470413"/>
    <w:rsid w:val="00480654"/>
    <w:rsid w:val="00495178"/>
    <w:rsid w:val="004B0226"/>
    <w:rsid w:val="004C46B0"/>
    <w:rsid w:val="004D6897"/>
    <w:rsid w:val="004E2D59"/>
    <w:rsid w:val="005020FD"/>
    <w:rsid w:val="005032A1"/>
    <w:rsid w:val="005045D6"/>
    <w:rsid w:val="0051488C"/>
    <w:rsid w:val="005529C8"/>
    <w:rsid w:val="00562EC1"/>
    <w:rsid w:val="00566493"/>
    <w:rsid w:val="00570D58"/>
    <w:rsid w:val="00574BF7"/>
    <w:rsid w:val="005750E2"/>
    <w:rsid w:val="005919ED"/>
    <w:rsid w:val="005A7210"/>
    <w:rsid w:val="005B3615"/>
    <w:rsid w:val="005B60F2"/>
    <w:rsid w:val="005C195D"/>
    <w:rsid w:val="005D2B6E"/>
    <w:rsid w:val="005D3509"/>
    <w:rsid w:val="005E3A08"/>
    <w:rsid w:val="005E47BB"/>
    <w:rsid w:val="005F02EC"/>
    <w:rsid w:val="005F7247"/>
    <w:rsid w:val="006049E8"/>
    <w:rsid w:val="00606C98"/>
    <w:rsid w:val="006151F8"/>
    <w:rsid w:val="00621DEC"/>
    <w:rsid w:val="00633FA4"/>
    <w:rsid w:val="00671552"/>
    <w:rsid w:val="006952C5"/>
    <w:rsid w:val="0069750E"/>
    <w:rsid w:val="006A7498"/>
    <w:rsid w:val="006D750C"/>
    <w:rsid w:val="00735BBF"/>
    <w:rsid w:val="00747FEA"/>
    <w:rsid w:val="007636F6"/>
    <w:rsid w:val="007679FB"/>
    <w:rsid w:val="007977E2"/>
    <w:rsid w:val="007A6DFB"/>
    <w:rsid w:val="007B2B53"/>
    <w:rsid w:val="007C0D57"/>
    <w:rsid w:val="007D1654"/>
    <w:rsid w:val="007D413E"/>
    <w:rsid w:val="0080442B"/>
    <w:rsid w:val="008075A7"/>
    <w:rsid w:val="008147AA"/>
    <w:rsid w:val="00843143"/>
    <w:rsid w:val="00844DC3"/>
    <w:rsid w:val="00851FFF"/>
    <w:rsid w:val="008603F6"/>
    <w:rsid w:val="008827B2"/>
    <w:rsid w:val="00890D5C"/>
    <w:rsid w:val="008914F0"/>
    <w:rsid w:val="00891E83"/>
    <w:rsid w:val="00895721"/>
    <w:rsid w:val="008A210B"/>
    <w:rsid w:val="008B0EC6"/>
    <w:rsid w:val="008B523F"/>
    <w:rsid w:val="008C0175"/>
    <w:rsid w:val="008D4B4D"/>
    <w:rsid w:val="008D4EF5"/>
    <w:rsid w:val="008F1CB4"/>
    <w:rsid w:val="00902E74"/>
    <w:rsid w:val="0091053C"/>
    <w:rsid w:val="00917EE3"/>
    <w:rsid w:val="00957162"/>
    <w:rsid w:val="00987DB4"/>
    <w:rsid w:val="009A585D"/>
    <w:rsid w:val="009B2032"/>
    <w:rsid w:val="009C7F63"/>
    <w:rsid w:val="009E03B6"/>
    <w:rsid w:val="009F7EB1"/>
    <w:rsid w:val="00A02D0F"/>
    <w:rsid w:val="00A2403F"/>
    <w:rsid w:val="00A46F59"/>
    <w:rsid w:val="00A53417"/>
    <w:rsid w:val="00A54063"/>
    <w:rsid w:val="00A83484"/>
    <w:rsid w:val="00A83909"/>
    <w:rsid w:val="00AB06A3"/>
    <w:rsid w:val="00AB0C9A"/>
    <w:rsid w:val="00AC3DF7"/>
    <w:rsid w:val="00AD51F8"/>
    <w:rsid w:val="00AE0FE4"/>
    <w:rsid w:val="00B023F1"/>
    <w:rsid w:val="00B419C9"/>
    <w:rsid w:val="00B4527A"/>
    <w:rsid w:val="00B57060"/>
    <w:rsid w:val="00B612DB"/>
    <w:rsid w:val="00B80DF0"/>
    <w:rsid w:val="00B87C7D"/>
    <w:rsid w:val="00BB619C"/>
    <w:rsid w:val="00BC297D"/>
    <w:rsid w:val="00BC2A00"/>
    <w:rsid w:val="00BC3ED5"/>
    <w:rsid w:val="00BC4FBE"/>
    <w:rsid w:val="00BD52D5"/>
    <w:rsid w:val="00BD6A75"/>
    <w:rsid w:val="00C064E3"/>
    <w:rsid w:val="00C11E91"/>
    <w:rsid w:val="00C12654"/>
    <w:rsid w:val="00C14DD6"/>
    <w:rsid w:val="00C21C85"/>
    <w:rsid w:val="00C43498"/>
    <w:rsid w:val="00C444E5"/>
    <w:rsid w:val="00C52BDA"/>
    <w:rsid w:val="00C814A8"/>
    <w:rsid w:val="00C86E71"/>
    <w:rsid w:val="00C87A31"/>
    <w:rsid w:val="00C91345"/>
    <w:rsid w:val="00CA45EF"/>
    <w:rsid w:val="00CC4025"/>
    <w:rsid w:val="00CD742D"/>
    <w:rsid w:val="00CE5DBA"/>
    <w:rsid w:val="00CF28EE"/>
    <w:rsid w:val="00D17A55"/>
    <w:rsid w:val="00D47CE7"/>
    <w:rsid w:val="00D6683D"/>
    <w:rsid w:val="00D73518"/>
    <w:rsid w:val="00D816DC"/>
    <w:rsid w:val="00D917B5"/>
    <w:rsid w:val="00DB0943"/>
    <w:rsid w:val="00DC5639"/>
    <w:rsid w:val="00DD175B"/>
    <w:rsid w:val="00DE1BDC"/>
    <w:rsid w:val="00DF579E"/>
    <w:rsid w:val="00E005B1"/>
    <w:rsid w:val="00E00BED"/>
    <w:rsid w:val="00E239F8"/>
    <w:rsid w:val="00E432EF"/>
    <w:rsid w:val="00E53FE0"/>
    <w:rsid w:val="00E65691"/>
    <w:rsid w:val="00E66AAB"/>
    <w:rsid w:val="00E96975"/>
    <w:rsid w:val="00E96D67"/>
    <w:rsid w:val="00EA60E4"/>
    <w:rsid w:val="00EB0AF7"/>
    <w:rsid w:val="00EC718C"/>
    <w:rsid w:val="00EE4B81"/>
    <w:rsid w:val="00F34DAF"/>
    <w:rsid w:val="00F409FA"/>
    <w:rsid w:val="00F47EDF"/>
    <w:rsid w:val="00F64F80"/>
    <w:rsid w:val="00F86C8A"/>
    <w:rsid w:val="00FA3563"/>
    <w:rsid w:val="00FB609D"/>
    <w:rsid w:val="00FC0C0C"/>
    <w:rsid w:val="00FD7574"/>
    <w:rsid w:val="00FE54A3"/>
    <w:rsid w:val="00FE57B3"/>
    <w:rsid w:val="00FF3B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03F"/>
    <w:pPr>
      <w:spacing w:after="200" w:line="276" w:lineRule="auto"/>
    </w:pPr>
    <w:rPr>
      <w:rFonts w:ascii="Calibri" w:eastAsia="Calibri" w:hAnsi="Calibri" w:cs="Times New Roman"/>
    </w:rPr>
  </w:style>
  <w:style w:type="paragraph" w:styleId="1">
    <w:name w:val="heading 1"/>
    <w:basedOn w:val="a"/>
    <w:next w:val="a"/>
    <w:link w:val="10"/>
    <w:uiPriority w:val="9"/>
    <w:qFormat/>
    <w:rsid w:val="00BC297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link w:val="30"/>
    <w:uiPriority w:val="9"/>
    <w:qFormat/>
    <w:rsid w:val="008F1CB4"/>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
    <w:next w:val="a"/>
    <w:link w:val="40"/>
    <w:uiPriority w:val="9"/>
    <w:semiHidden/>
    <w:unhideWhenUsed/>
    <w:qFormat/>
    <w:rsid w:val="00FE54A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62EC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62EC1"/>
    <w:rPr>
      <w:rFonts w:ascii="Segoe UI" w:eastAsia="Calibri" w:hAnsi="Segoe UI" w:cs="Segoe UI"/>
      <w:sz w:val="18"/>
      <w:szCs w:val="18"/>
    </w:rPr>
  </w:style>
  <w:style w:type="character" w:customStyle="1" w:styleId="30">
    <w:name w:val="Заголовок 3 Знак"/>
    <w:basedOn w:val="a0"/>
    <w:link w:val="3"/>
    <w:uiPriority w:val="9"/>
    <w:rsid w:val="008F1CB4"/>
    <w:rPr>
      <w:rFonts w:ascii="Times New Roman" w:eastAsia="Times New Roman" w:hAnsi="Times New Roman" w:cs="Times New Roman"/>
      <w:b/>
      <w:bCs/>
      <w:sz w:val="27"/>
      <w:szCs w:val="27"/>
      <w:lang w:eastAsia="ru-RU"/>
    </w:rPr>
  </w:style>
  <w:style w:type="character" w:styleId="a5">
    <w:name w:val="Hyperlink"/>
    <w:basedOn w:val="a0"/>
    <w:uiPriority w:val="99"/>
    <w:unhideWhenUsed/>
    <w:rsid w:val="008F1CB4"/>
    <w:rPr>
      <w:color w:val="0000FF"/>
      <w:u w:val="single"/>
    </w:rPr>
  </w:style>
  <w:style w:type="paragraph" w:styleId="a6">
    <w:name w:val="No Spacing"/>
    <w:uiPriority w:val="1"/>
    <w:qFormat/>
    <w:rsid w:val="00FC0C0C"/>
    <w:pPr>
      <w:spacing w:after="0" w:line="240" w:lineRule="auto"/>
    </w:pPr>
    <w:rPr>
      <w:rFonts w:ascii="Times New Roman" w:eastAsia="Times New Roman" w:hAnsi="Times New Roman" w:cs="Times New Roman"/>
      <w:sz w:val="24"/>
      <w:szCs w:val="24"/>
      <w:lang w:eastAsia="ru-RU"/>
    </w:rPr>
  </w:style>
  <w:style w:type="character" w:styleId="a7">
    <w:name w:val="Emphasis"/>
    <w:basedOn w:val="a0"/>
    <w:uiPriority w:val="20"/>
    <w:qFormat/>
    <w:rsid w:val="009A585D"/>
    <w:rPr>
      <w:i/>
      <w:iCs/>
    </w:rPr>
  </w:style>
  <w:style w:type="paragraph" w:styleId="a8">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9"/>
    <w:uiPriority w:val="99"/>
    <w:unhideWhenUsed/>
    <w:qFormat/>
    <w:rsid w:val="00FE54A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9">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8"/>
    <w:locked/>
    <w:rsid w:val="00FE54A3"/>
    <w:rPr>
      <w:rFonts w:ascii="Times New Roman" w:eastAsia="Times New Roman" w:hAnsi="Times New Roman" w:cs="Times New Roman"/>
      <w:sz w:val="24"/>
      <w:szCs w:val="24"/>
      <w:lang w:eastAsia="ru-RU"/>
    </w:rPr>
  </w:style>
  <w:style w:type="character" w:customStyle="1" w:styleId="aa">
    <w:name w:val="a"/>
    <w:rsid w:val="00FE54A3"/>
    <w:rPr>
      <w:color w:val="333399"/>
      <w:u w:val="single"/>
    </w:rPr>
  </w:style>
  <w:style w:type="character" w:customStyle="1" w:styleId="s0">
    <w:name w:val="s0"/>
    <w:rsid w:val="00FE54A3"/>
    <w:rPr>
      <w:rFonts w:ascii="Times New Roman" w:hAnsi="Times New Roman" w:cs="Times New Roman" w:hint="default"/>
      <w:b w:val="0"/>
      <w:bCs w:val="0"/>
      <w:i w:val="0"/>
      <w:iCs w:val="0"/>
      <w:color w:val="000000"/>
    </w:rPr>
  </w:style>
  <w:style w:type="character" w:customStyle="1" w:styleId="apple-converted-space">
    <w:name w:val="apple-converted-space"/>
    <w:basedOn w:val="a0"/>
    <w:rsid w:val="00FE54A3"/>
  </w:style>
  <w:style w:type="paragraph" w:customStyle="1" w:styleId="j15">
    <w:name w:val="j15"/>
    <w:basedOn w:val="a"/>
    <w:rsid w:val="00FE54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6">
    <w:name w:val="j16"/>
    <w:basedOn w:val="a"/>
    <w:rsid w:val="00FE54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
    <w:rsid w:val="00FE54A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40">
    <w:name w:val="Заголовок 4 Знак"/>
    <w:basedOn w:val="a0"/>
    <w:link w:val="4"/>
    <w:uiPriority w:val="9"/>
    <w:semiHidden/>
    <w:rsid w:val="00FE54A3"/>
    <w:rPr>
      <w:rFonts w:asciiTheme="majorHAnsi" w:eastAsiaTheme="majorEastAsia" w:hAnsiTheme="majorHAnsi" w:cstheme="majorBidi"/>
      <w:i/>
      <w:iCs/>
      <w:color w:val="2E74B5" w:themeColor="accent1" w:themeShade="BF"/>
    </w:rPr>
  </w:style>
  <w:style w:type="paragraph" w:styleId="ab">
    <w:name w:val="List Paragraph"/>
    <w:basedOn w:val="a"/>
    <w:uiPriority w:val="34"/>
    <w:qFormat/>
    <w:rsid w:val="00FE54A3"/>
    <w:pPr>
      <w:ind w:left="720"/>
      <w:contextualSpacing/>
    </w:pPr>
  </w:style>
  <w:style w:type="paragraph" w:styleId="ac">
    <w:name w:val="Body Text"/>
    <w:basedOn w:val="a"/>
    <w:link w:val="ad"/>
    <w:rsid w:val="00480654"/>
    <w:pPr>
      <w:tabs>
        <w:tab w:val="left" w:pos="0"/>
      </w:tabs>
      <w:spacing w:after="0" w:line="240" w:lineRule="auto"/>
      <w:jc w:val="both"/>
    </w:pPr>
    <w:rPr>
      <w:rFonts w:ascii="Times New Roman" w:eastAsia="Times New Roman" w:hAnsi="Times New Roman"/>
      <w:sz w:val="28"/>
      <w:szCs w:val="20"/>
      <w:lang w:eastAsia="ru-RU"/>
    </w:rPr>
  </w:style>
  <w:style w:type="character" w:customStyle="1" w:styleId="ad">
    <w:name w:val="Основной текст Знак"/>
    <w:basedOn w:val="a0"/>
    <w:link w:val="ac"/>
    <w:rsid w:val="00480654"/>
    <w:rPr>
      <w:rFonts w:ascii="Times New Roman" w:eastAsia="Times New Roman" w:hAnsi="Times New Roman" w:cs="Times New Roman"/>
      <w:sz w:val="28"/>
      <w:szCs w:val="20"/>
      <w:lang w:eastAsia="ru-RU"/>
    </w:rPr>
  </w:style>
  <w:style w:type="character" w:styleId="ae">
    <w:name w:val="Strong"/>
    <w:basedOn w:val="a0"/>
    <w:uiPriority w:val="22"/>
    <w:qFormat/>
    <w:rsid w:val="007B2B53"/>
    <w:rPr>
      <w:b/>
      <w:bCs/>
    </w:rPr>
  </w:style>
  <w:style w:type="character" w:customStyle="1" w:styleId="10">
    <w:name w:val="Заголовок 1 Знак"/>
    <w:basedOn w:val="a0"/>
    <w:link w:val="1"/>
    <w:uiPriority w:val="9"/>
    <w:rsid w:val="00BC297D"/>
    <w:rPr>
      <w:rFonts w:asciiTheme="majorHAnsi" w:eastAsiaTheme="majorEastAsia" w:hAnsiTheme="majorHAnsi" w:cstheme="majorBidi"/>
      <w:b/>
      <w:bCs/>
      <w:color w:val="2E74B5" w:themeColor="accent1" w:themeShade="BF"/>
      <w:sz w:val="28"/>
      <w:szCs w:val="28"/>
    </w:rPr>
  </w:style>
  <w:style w:type="paragraph" w:styleId="af">
    <w:name w:val="header"/>
    <w:basedOn w:val="a"/>
    <w:link w:val="af0"/>
    <w:uiPriority w:val="99"/>
    <w:unhideWhenUsed/>
    <w:rsid w:val="00F47EDF"/>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47EDF"/>
    <w:rPr>
      <w:rFonts w:ascii="Calibri" w:eastAsia="Calibri" w:hAnsi="Calibri" w:cs="Times New Roman"/>
    </w:rPr>
  </w:style>
  <w:style w:type="paragraph" w:styleId="af1">
    <w:name w:val="footer"/>
    <w:basedOn w:val="a"/>
    <w:link w:val="af2"/>
    <w:uiPriority w:val="99"/>
    <w:unhideWhenUsed/>
    <w:rsid w:val="00F47EDF"/>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F47EDF"/>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03F"/>
    <w:pPr>
      <w:spacing w:after="200" w:line="276" w:lineRule="auto"/>
    </w:pPr>
    <w:rPr>
      <w:rFonts w:ascii="Calibri" w:eastAsia="Calibri" w:hAnsi="Calibri" w:cs="Times New Roman"/>
    </w:rPr>
  </w:style>
  <w:style w:type="paragraph" w:styleId="1">
    <w:name w:val="heading 1"/>
    <w:basedOn w:val="a"/>
    <w:next w:val="a"/>
    <w:link w:val="10"/>
    <w:uiPriority w:val="9"/>
    <w:qFormat/>
    <w:rsid w:val="00BC297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link w:val="30"/>
    <w:uiPriority w:val="9"/>
    <w:qFormat/>
    <w:rsid w:val="008F1CB4"/>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
    <w:next w:val="a"/>
    <w:link w:val="40"/>
    <w:uiPriority w:val="9"/>
    <w:semiHidden/>
    <w:unhideWhenUsed/>
    <w:qFormat/>
    <w:rsid w:val="00FE54A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62EC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62EC1"/>
    <w:rPr>
      <w:rFonts w:ascii="Segoe UI" w:eastAsia="Calibri" w:hAnsi="Segoe UI" w:cs="Segoe UI"/>
      <w:sz w:val="18"/>
      <w:szCs w:val="18"/>
    </w:rPr>
  </w:style>
  <w:style w:type="character" w:customStyle="1" w:styleId="30">
    <w:name w:val="Заголовок 3 Знак"/>
    <w:basedOn w:val="a0"/>
    <w:link w:val="3"/>
    <w:uiPriority w:val="9"/>
    <w:rsid w:val="008F1CB4"/>
    <w:rPr>
      <w:rFonts w:ascii="Times New Roman" w:eastAsia="Times New Roman" w:hAnsi="Times New Roman" w:cs="Times New Roman"/>
      <w:b/>
      <w:bCs/>
      <w:sz w:val="27"/>
      <w:szCs w:val="27"/>
      <w:lang w:eastAsia="ru-RU"/>
    </w:rPr>
  </w:style>
  <w:style w:type="character" w:styleId="a5">
    <w:name w:val="Hyperlink"/>
    <w:basedOn w:val="a0"/>
    <w:uiPriority w:val="99"/>
    <w:unhideWhenUsed/>
    <w:rsid w:val="008F1CB4"/>
    <w:rPr>
      <w:color w:val="0000FF"/>
      <w:u w:val="single"/>
    </w:rPr>
  </w:style>
  <w:style w:type="paragraph" w:styleId="a6">
    <w:name w:val="No Spacing"/>
    <w:uiPriority w:val="1"/>
    <w:qFormat/>
    <w:rsid w:val="00FC0C0C"/>
    <w:pPr>
      <w:spacing w:after="0" w:line="240" w:lineRule="auto"/>
    </w:pPr>
    <w:rPr>
      <w:rFonts w:ascii="Times New Roman" w:eastAsia="Times New Roman" w:hAnsi="Times New Roman" w:cs="Times New Roman"/>
      <w:sz w:val="24"/>
      <w:szCs w:val="24"/>
      <w:lang w:eastAsia="ru-RU"/>
    </w:rPr>
  </w:style>
  <w:style w:type="character" w:styleId="a7">
    <w:name w:val="Emphasis"/>
    <w:basedOn w:val="a0"/>
    <w:uiPriority w:val="20"/>
    <w:qFormat/>
    <w:rsid w:val="009A585D"/>
    <w:rPr>
      <w:i/>
      <w:iCs/>
    </w:rPr>
  </w:style>
  <w:style w:type="paragraph" w:styleId="a8">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9"/>
    <w:uiPriority w:val="99"/>
    <w:unhideWhenUsed/>
    <w:qFormat/>
    <w:rsid w:val="00FE54A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9">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8"/>
    <w:locked/>
    <w:rsid w:val="00FE54A3"/>
    <w:rPr>
      <w:rFonts w:ascii="Times New Roman" w:eastAsia="Times New Roman" w:hAnsi="Times New Roman" w:cs="Times New Roman"/>
      <w:sz w:val="24"/>
      <w:szCs w:val="24"/>
      <w:lang w:eastAsia="ru-RU"/>
    </w:rPr>
  </w:style>
  <w:style w:type="character" w:customStyle="1" w:styleId="aa">
    <w:name w:val="a"/>
    <w:rsid w:val="00FE54A3"/>
    <w:rPr>
      <w:color w:val="333399"/>
      <w:u w:val="single"/>
    </w:rPr>
  </w:style>
  <w:style w:type="character" w:customStyle="1" w:styleId="s0">
    <w:name w:val="s0"/>
    <w:rsid w:val="00FE54A3"/>
    <w:rPr>
      <w:rFonts w:ascii="Times New Roman" w:hAnsi="Times New Roman" w:cs="Times New Roman" w:hint="default"/>
      <w:b w:val="0"/>
      <w:bCs w:val="0"/>
      <w:i w:val="0"/>
      <w:iCs w:val="0"/>
      <w:color w:val="000000"/>
    </w:rPr>
  </w:style>
  <w:style w:type="character" w:customStyle="1" w:styleId="apple-converted-space">
    <w:name w:val="apple-converted-space"/>
    <w:basedOn w:val="a0"/>
    <w:rsid w:val="00FE54A3"/>
  </w:style>
  <w:style w:type="paragraph" w:customStyle="1" w:styleId="j15">
    <w:name w:val="j15"/>
    <w:basedOn w:val="a"/>
    <w:rsid w:val="00FE54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6">
    <w:name w:val="j16"/>
    <w:basedOn w:val="a"/>
    <w:rsid w:val="00FE54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
    <w:rsid w:val="00FE54A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40">
    <w:name w:val="Заголовок 4 Знак"/>
    <w:basedOn w:val="a0"/>
    <w:link w:val="4"/>
    <w:uiPriority w:val="9"/>
    <w:semiHidden/>
    <w:rsid w:val="00FE54A3"/>
    <w:rPr>
      <w:rFonts w:asciiTheme="majorHAnsi" w:eastAsiaTheme="majorEastAsia" w:hAnsiTheme="majorHAnsi" w:cstheme="majorBidi"/>
      <w:i/>
      <w:iCs/>
      <w:color w:val="2E74B5" w:themeColor="accent1" w:themeShade="BF"/>
    </w:rPr>
  </w:style>
  <w:style w:type="paragraph" w:styleId="ab">
    <w:name w:val="List Paragraph"/>
    <w:basedOn w:val="a"/>
    <w:uiPriority w:val="34"/>
    <w:qFormat/>
    <w:rsid w:val="00FE54A3"/>
    <w:pPr>
      <w:ind w:left="720"/>
      <w:contextualSpacing/>
    </w:pPr>
  </w:style>
  <w:style w:type="paragraph" w:styleId="ac">
    <w:name w:val="Body Text"/>
    <w:basedOn w:val="a"/>
    <w:link w:val="ad"/>
    <w:rsid w:val="00480654"/>
    <w:pPr>
      <w:tabs>
        <w:tab w:val="left" w:pos="0"/>
      </w:tabs>
      <w:spacing w:after="0" w:line="240" w:lineRule="auto"/>
      <w:jc w:val="both"/>
    </w:pPr>
    <w:rPr>
      <w:rFonts w:ascii="Times New Roman" w:eastAsia="Times New Roman" w:hAnsi="Times New Roman"/>
      <w:sz w:val="28"/>
      <w:szCs w:val="20"/>
      <w:lang w:eastAsia="ru-RU"/>
    </w:rPr>
  </w:style>
  <w:style w:type="character" w:customStyle="1" w:styleId="ad">
    <w:name w:val="Основной текст Знак"/>
    <w:basedOn w:val="a0"/>
    <w:link w:val="ac"/>
    <w:rsid w:val="00480654"/>
    <w:rPr>
      <w:rFonts w:ascii="Times New Roman" w:eastAsia="Times New Roman" w:hAnsi="Times New Roman" w:cs="Times New Roman"/>
      <w:sz w:val="28"/>
      <w:szCs w:val="20"/>
      <w:lang w:eastAsia="ru-RU"/>
    </w:rPr>
  </w:style>
  <w:style w:type="character" w:styleId="ae">
    <w:name w:val="Strong"/>
    <w:basedOn w:val="a0"/>
    <w:uiPriority w:val="22"/>
    <w:qFormat/>
    <w:rsid w:val="007B2B53"/>
    <w:rPr>
      <w:b/>
      <w:bCs/>
    </w:rPr>
  </w:style>
  <w:style w:type="character" w:customStyle="1" w:styleId="10">
    <w:name w:val="Заголовок 1 Знак"/>
    <w:basedOn w:val="a0"/>
    <w:link w:val="1"/>
    <w:uiPriority w:val="9"/>
    <w:rsid w:val="00BC297D"/>
    <w:rPr>
      <w:rFonts w:asciiTheme="majorHAnsi" w:eastAsiaTheme="majorEastAsia" w:hAnsiTheme="majorHAnsi" w:cstheme="majorBidi"/>
      <w:b/>
      <w:bCs/>
      <w:color w:val="2E74B5" w:themeColor="accent1" w:themeShade="BF"/>
      <w:sz w:val="28"/>
      <w:szCs w:val="28"/>
    </w:rPr>
  </w:style>
  <w:style w:type="paragraph" w:styleId="af">
    <w:name w:val="header"/>
    <w:basedOn w:val="a"/>
    <w:link w:val="af0"/>
    <w:uiPriority w:val="99"/>
    <w:unhideWhenUsed/>
    <w:rsid w:val="00F47EDF"/>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47EDF"/>
    <w:rPr>
      <w:rFonts w:ascii="Calibri" w:eastAsia="Calibri" w:hAnsi="Calibri" w:cs="Times New Roman"/>
    </w:rPr>
  </w:style>
  <w:style w:type="paragraph" w:styleId="af1">
    <w:name w:val="footer"/>
    <w:basedOn w:val="a"/>
    <w:link w:val="af2"/>
    <w:uiPriority w:val="99"/>
    <w:unhideWhenUsed/>
    <w:rsid w:val="00F47EDF"/>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F47ED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24409573">
      <w:bodyDiv w:val="1"/>
      <w:marLeft w:val="0"/>
      <w:marRight w:val="0"/>
      <w:marTop w:val="0"/>
      <w:marBottom w:val="0"/>
      <w:divBdr>
        <w:top w:val="none" w:sz="0" w:space="0" w:color="auto"/>
        <w:left w:val="none" w:sz="0" w:space="0" w:color="auto"/>
        <w:bottom w:val="none" w:sz="0" w:space="0" w:color="auto"/>
        <w:right w:val="none" w:sz="0" w:space="0" w:color="auto"/>
      </w:divBdr>
    </w:div>
    <w:div w:id="32124344">
      <w:bodyDiv w:val="1"/>
      <w:marLeft w:val="0"/>
      <w:marRight w:val="0"/>
      <w:marTop w:val="0"/>
      <w:marBottom w:val="0"/>
      <w:divBdr>
        <w:top w:val="none" w:sz="0" w:space="0" w:color="auto"/>
        <w:left w:val="none" w:sz="0" w:space="0" w:color="auto"/>
        <w:bottom w:val="none" w:sz="0" w:space="0" w:color="auto"/>
        <w:right w:val="none" w:sz="0" w:space="0" w:color="auto"/>
      </w:divBdr>
    </w:div>
    <w:div w:id="39978925">
      <w:bodyDiv w:val="1"/>
      <w:marLeft w:val="0"/>
      <w:marRight w:val="0"/>
      <w:marTop w:val="0"/>
      <w:marBottom w:val="0"/>
      <w:divBdr>
        <w:top w:val="none" w:sz="0" w:space="0" w:color="auto"/>
        <w:left w:val="none" w:sz="0" w:space="0" w:color="auto"/>
        <w:bottom w:val="none" w:sz="0" w:space="0" w:color="auto"/>
        <w:right w:val="none" w:sz="0" w:space="0" w:color="auto"/>
      </w:divBdr>
    </w:div>
    <w:div w:id="141503749">
      <w:bodyDiv w:val="1"/>
      <w:marLeft w:val="0"/>
      <w:marRight w:val="0"/>
      <w:marTop w:val="0"/>
      <w:marBottom w:val="0"/>
      <w:divBdr>
        <w:top w:val="none" w:sz="0" w:space="0" w:color="auto"/>
        <w:left w:val="none" w:sz="0" w:space="0" w:color="auto"/>
        <w:bottom w:val="none" w:sz="0" w:space="0" w:color="auto"/>
        <w:right w:val="none" w:sz="0" w:space="0" w:color="auto"/>
      </w:divBdr>
    </w:div>
    <w:div w:id="215900815">
      <w:bodyDiv w:val="1"/>
      <w:marLeft w:val="0"/>
      <w:marRight w:val="0"/>
      <w:marTop w:val="0"/>
      <w:marBottom w:val="0"/>
      <w:divBdr>
        <w:top w:val="none" w:sz="0" w:space="0" w:color="auto"/>
        <w:left w:val="none" w:sz="0" w:space="0" w:color="auto"/>
        <w:bottom w:val="none" w:sz="0" w:space="0" w:color="auto"/>
        <w:right w:val="none" w:sz="0" w:space="0" w:color="auto"/>
      </w:divBdr>
    </w:div>
    <w:div w:id="233666354">
      <w:bodyDiv w:val="1"/>
      <w:marLeft w:val="0"/>
      <w:marRight w:val="0"/>
      <w:marTop w:val="0"/>
      <w:marBottom w:val="0"/>
      <w:divBdr>
        <w:top w:val="none" w:sz="0" w:space="0" w:color="auto"/>
        <w:left w:val="none" w:sz="0" w:space="0" w:color="auto"/>
        <w:bottom w:val="none" w:sz="0" w:space="0" w:color="auto"/>
        <w:right w:val="none" w:sz="0" w:space="0" w:color="auto"/>
      </w:divBdr>
    </w:div>
    <w:div w:id="245040613">
      <w:bodyDiv w:val="1"/>
      <w:marLeft w:val="0"/>
      <w:marRight w:val="0"/>
      <w:marTop w:val="0"/>
      <w:marBottom w:val="0"/>
      <w:divBdr>
        <w:top w:val="none" w:sz="0" w:space="0" w:color="auto"/>
        <w:left w:val="none" w:sz="0" w:space="0" w:color="auto"/>
        <w:bottom w:val="none" w:sz="0" w:space="0" w:color="auto"/>
        <w:right w:val="none" w:sz="0" w:space="0" w:color="auto"/>
      </w:divBdr>
    </w:div>
    <w:div w:id="283926827">
      <w:bodyDiv w:val="1"/>
      <w:marLeft w:val="0"/>
      <w:marRight w:val="0"/>
      <w:marTop w:val="0"/>
      <w:marBottom w:val="0"/>
      <w:divBdr>
        <w:top w:val="none" w:sz="0" w:space="0" w:color="auto"/>
        <w:left w:val="none" w:sz="0" w:space="0" w:color="auto"/>
        <w:bottom w:val="none" w:sz="0" w:space="0" w:color="auto"/>
        <w:right w:val="none" w:sz="0" w:space="0" w:color="auto"/>
      </w:divBdr>
    </w:div>
    <w:div w:id="294217507">
      <w:bodyDiv w:val="1"/>
      <w:marLeft w:val="0"/>
      <w:marRight w:val="0"/>
      <w:marTop w:val="0"/>
      <w:marBottom w:val="0"/>
      <w:divBdr>
        <w:top w:val="none" w:sz="0" w:space="0" w:color="auto"/>
        <w:left w:val="none" w:sz="0" w:space="0" w:color="auto"/>
        <w:bottom w:val="none" w:sz="0" w:space="0" w:color="auto"/>
        <w:right w:val="none" w:sz="0" w:space="0" w:color="auto"/>
      </w:divBdr>
    </w:div>
    <w:div w:id="493692113">
      <w:bodyDiv w:val="1"/>
      <w:marLeft w:val="0"/>
      <w:marRight w:val="0"/>
      <w:marTop w:val="0"/>
      <w:marBottom w:val="0"/>
      <w:divBdr>
        <w:top w:val="none" w:sz="0" w:space="0" w:color="auto"/>
        <w:left w:val="none" w:sz="0" w:space="0" w:color="auto"/>
        <w:bottom w:val="none" w:sz="0" w:space="0" w:color="auto"/>
        <w:right w:val="none" w:sz="0" w:space="0" w:color="auto"/>
      </w:divBdr>
    </w:div>
    <w:div w:id="561143038">
      <w:bodyDiv w:val="1"/>
      <w:marLeft w:val="0"/>
      <w:marRight w:val="0"/>
      <w:marTop w:val="0"/>
      <w:marBottom w:val="0"/>
      <w:divBdr>
        <w:top w:val="none" w:sz="0" w:space="0" w:color="auto"/>
        <w:left w:val="none" w:sz="0" w:space="0" w:color="auto"/>
        <w:bottom w:val="none" w:sz="0" w:space="0" w:color="auto"/>
        <w:right w:val="none" w:sz="0" w:space="0" w:color="auto"/>
      </w:divBdr>
    </w:div>
    <w:div w:id="603266758">
      <w:bodyDiv w:val="1"/>
      <w:marLeft w:val="0"/>
      <w:marRight w:val="0"/>
      <w:marTop w:val="0"/>
      <w:marBottom w:val="0"/>
      <w:divBdr>
        <w:top w:val="none" w:sz="0" w:space="0" w:color="auto"/>
        <w:left w:val="none" w:sz="0" w:space="0" w:color="auto"/>
        <w:bottom w:val="none" w:sz="0" w:space="0" w:color="auto"/>
        <w:right w:val="none" w:sz="0" w:space="0" w:color="auto"/>
      </w:divBdr>
    </w:div>
    <w:div w:id="798567191">
      <w:bodyDiv w:val="1"/>
      <w:marLeft w:val="0"/>
      <w:marRight w:val="0"/>
      <w:marTop w:val="0"/>
      <w:marBottom w:val="0"/>
      <w:divBdr>
        <w:top w:val="none" w:sz="0" w:space="0" w:color="auto"/>
        <w:left w:val="none" w:sz="0" w:space="0" w:color="auto"/>
        <w:bottom w:val="none" w:sz="0" w:space="0" w:color="auto"/>
        <w:right w:val="none" w:sz="0" w:space="0" w:color="auto"/>
      </w:divBdr>
    </w:div>
    <w:div w:id="937100610">
      <w:bodyDiv w:val="1"/>
      <w:marLeft w:val="0"/>
      <w:marRight w:val="0"/>
      <w:marTop w:val="0"/>
      <w:marBottom w:val="0"/>
      <w:divBdr>
        <w:top w:val="none" w:sz="0" w:space="0" w:color="auto"/>
        <w:left w:val="none" w:sz="0" w:space="0" w:color="auto"/>
        <w:bottom w:val="none" w:sz="0" w:space="0" w:color="auto"/>
        <w:right w:val="none" w:sz="0" w:space="0" w:color="auto"/>
      </w:divBdr>
    </w:div>
    <w:div w:id="975451030">
      <w:bodyDiv w:val="1"/>
      <w:marLeft w:val="0"/>
      <w:marRight w:val="0"/>
      <w:marTop w:val="0"/>
      <w:marBottom w:val="0"/>
      <w:divBdr>
        <w:top w:val="none" w:sz="0" w:space="0" w:color="auto"/>
        <w:left w:val="none" w:sz="0" w:space="0" w:color="auto"/>
        <w:bottom w:val="none" w:sz="0" w:space="0" w:color="auto"/>
        <w:right w:val="none" w:sz="0" w:space="0" w:color="auto"/>
      </w:divBdr>
    </w:div>
    <w:div w:id="1015689113">
      <w:bodyDiv w:val="1"/>
      <w:marLeft w:val="0"/>
      <w:marRight w:val="0"/>
      <w:marTop w:val="0"/>
      <w:marBottom w:val="0"/>
      <w:divBdr>
        <w:top w:val="none" w:sz="0" w:space="0" w:color="auto"/>
        <w:left w:val="none" w:sz="0" w:space="0" w:color="auto"/>
        <w:bottom w:val="none" w:sz="0" w:space="0" w:color="auto"/>
        <w:right w:val="none" w:sz="0" w:space="0" w:color="auto"/>
      </w:divBdr>
    </w:div>
    <w:div w:id="1062606046">
      <w:bodyDiv w:val="1"/>
      <w:marLeft w:val="0"/>
      <w:marRight w:val="0"/>
      <w:marTop w:val="0"/>
      <w:marBottom w:val="0"/>
      <w:divBdr>
        <w:top w:val="none" w:sz="0" w:space="0" w:color="auto"/>
        <w:left w:val="none" w:sz="0" w:space="0" w:color="auto"/>
        <w:bottom w:val="none" w:sz="0" w:space="0" w:color="auto"/>
        <w:right w:val="none" w:sz="0" w:space="0" w:color="auto"/>
      </w:divBdr>
    </w:div>
    <w:div w:id="1064795612">
      <w:bodyDiv w:val="1"/>
      <w:marLeft w:val="0"/>
      <w:marRight w:val="0"/>
      <w:marTop w:val="0"/>
      <w:marBottom w:val="0"/>
      <w:divBdr>
        <w:top w:val="none" w:sz="0" w:space="0" w:color="auto"/>
        <w:left w:val="none" w:sz="0" w:space="0" w:color="auto"/>
        <w:bottom w:val="none" w:sz="0" w:space="0" w:color="auto"/>
        <w:right w:val="none" w:sz="0" w:space="0" w:color="auto"/>
      </w:divBdr>
    </w:div>
    <w:div w:id="1221477372">
      <w:bodyDiv w:val="1"/>
      <w:marLeft w:val="0"/>
      <w:marRight w:val="0"/>
      <w:marTop w:val="0"/>
      <w:marBottom w:val="0"/>
      <w:divBdr>
        <w:top w:val="none" w:sz="0" w:space="0" w:color="auto"/>
        <w:left w:val="none" w:sz="0" w:space="0" w:color="auto"/>
        <w:bottom w:val="none" w:sz="0" w:space="0" w:color="auto"/>
        <w:right w:val="none" w:sz="0" w:space="0" w:color="auto"/>
      </w:divBdr>
    </w:div>
    <w:div w:id="1242328869">
      <w:bodyDiv w:val="1"/>
      <w:marLeft w:val="0"/>
      <w:marRight w:val="0"/>
      <w:marTop w:val="0"/>
      <w:marBottom w:val="0"/>
      <w:divBdr>
        <w:top w:val="none" w:sz="0" w:space="0" w:color="auto"/>
        <w:left w:val="none" w:sz="0" w:space="0" w:color="auto"/>
        <w:bottom w:val="none" w:sz="0" w:space="0" w:color="auto"/>
        <w:right w:val="none" w:sz="0" w:space="0" w:color="auto"/>
      </w:divBdr>
    </w:div>
    <w:div w:id="1592473505">
      <w:bodyDiv w:val="1"/>
      <w:marLeft w:val="0"/>
      <w:marRight w:val="0"/>
      <w:marTop w:val="0"/>
      <w:marBottom w:val="0"/>
      <w:divBdr>
        <w:top w:val="none" w:sz="0" w:space="0" w:color="auto"/>
        <w:left w:val="none" w:sz="0" w:space="0" w:color="auto"/>
        <w:bottom w:val="none" w:sz="0" w:space="0" w:color="auto"/>
        <w:right w:val="none" w:sz="0" w:space="0" w:color="auto"/>
      </w:divBdr>
    </w:div>
    <w:div w:id="1629509173">
      <w:bodyDiv w:val="1"/>
      <w:marLeft w:val="0"/>
      <w:marRight w:val="0"/>
      <w:marTop w:val="0"/>
      <w:marBottom w:val="0"/>
      <w:divBdr>
        <w:top w:val="none" w:sz="0" w:space="0" w:color="auto"/>
        <w:left w:val="none" w:sz="0" w:space="0" w:color="auto"/>
        <w:bottom w:val="none" w:sz="0" w:space="0" w:color="auto"/>
        <w:right w:val="none" w:sz="0" w:space="0" w:color="auto"/>
      </w:divBdr>
    </w:div>
    <w:div w:id="1841920318">
      <w:bodyDiv w:val="1"/>
      <w:marLeft w:val="0"/>
      <w:marRight w:val="0"/>
      <w:marTop w:val="0"/>
      <w:marBottom w:val="0"/>
      <w:divBdr>
        <w:top w:val="none" w:sz="0" w:space="0" w:color="auto"/>
        <w:left w:val="none" w:sz="0" w:space="0" w:color="auto"/>
        <w:bottom w:val="none" w:sz="0" w:space="0" w:color="auto"/>
        <w:right w:val="none" w:sz="0" w:space="0" w:color="auto"/>
      </w:divBdr>
    </w:div>
    <w:div w:id="1859810855">
      <w:bodyDiv w:val="1"/>
      <w:marLeft w:val="0"/>
      <w:marRight w:val="0"/>
      <w:marTop w:val="0"/>
      <w:marBottom w:val="0"/>
      <w:divBdr>
        <w:top w:val="none" w:sz="0" w:space="0" w:color="auto"/>
        <w:left w:val="none" w:sz="0" w:space="0" w:color="auto"/>
        <w:bottom w:val="none" w:sz="0" w:space="0" w:color="auto"/>
        <w:right w:val="none" w:sz="0" w:space="0" w:color="auto"/>
      </w:divBdr>
    </w:div>
    <w:div w:id="1899785740">
      <w:bodyDiv w:val="1"/>
      <w:marLeft w:val="0"/>
      <w:marRight w:val="0"/>
      <w:marTop w:val="0"/>
      <w:marBottom w:val="0"/>
      <w:divBdr>
        <w:top w:val="none" w:sz="0" w:space="0" w:color="auto"/>
        <w:left w:val="none" w:sz="0" w:space="0" w:color="auto"/>
        <w:bottom w:val="none" w:sz="0" w:space="0" w:color="auto"/>
        <w:right w:val="none" w:sz="0" w:space="0" w:color="auto"/>
      </w:divBdr>
    </w:div>
    <w:div w:id="1935744978">
      <w:bodyDiv w:val="1"/>
      <w:marLeft w:val="0"/>
      <w:marRight w:val="0"/>
      <w:marTop w:val="0"/>
      <w:marBottom w:val="0"/>
      <w:divBdr>
        <w:top w:val="none" w:sz="0" w:space="0" w:color="auto"/>
        <w:left w:val="none" w:sz="0" w:space="0" w:color="auto"/>
        <w:bottom w:val="none" w:sz="0" w:space="0" w:color="auto"/>
        <w:right w:val="none" w:sz="0" w:space="0" w:color="auto"/>
      </w:divBdr>
    </w:div>
    <w:div w:id="1980112854">
      <w:bodyDiv w:val="1"/>
      <w:marLeft w:val="0"/>
      <w:marRight w:val="0"/>
      <w:marTop w:val="0"/>
      <w:marBottom w:val="0"/>
      <w:divBdr>
        <w:top w:val="none" w:sz="0" w:space="0" w:color="auto"/>
        <w:left w:val="none" w:sz="0" w:space="0" w:color="auto"/>
        <w:bottom w:val="none" w:sz="0" w:space="0" w:color="auto"/>
        <w:right w:val="none" w:sz="0" w:space="0" w:color="auto"/>
      </w:divBdr>
    </w:div>
    <w:div w:id="2001998417">
      <w:bodyDiv w:val="1"/>
      <w:marLeft w:val="0"/>
      <w:marRight w:val="0"/>
      <w:marTop w:val="0"/>
      <w:marBottom w:val="0"/>
      <w:divBdr>
        <w:top w:val="none" w:sz="0" w:space="0" w:color="auto"/>
        <w:left w:val="none" w:sz="0" w:space="0" w:color="auto"/>
        <w:bottom w:val="none" w:sz="0" w:space="0" w:color="auto"/>
        <w:right w:val="none" w:sz="0" w:space="0" w:color="auto"/>
      </w:divBdr>
    </w:div>
    <w:div w:id="210915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D8A4B-FB95-4CD1-8FD9-05ED7FED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15</Pages>
  <Words>5568</Words>
  <Characters>31740</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37234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GosZakup</cp:lastModifiedBy>
  <cp:revision>63</cp:revision>
  <cp:lastPrinted>2022-02-25T08:26:00Z</cp:lastPrinted>
  <dcterms:created xsi:type="dcterms:W3CDTF">2022-01-17T09:47:00Z</dcterms:created>
  <dcterms:modified xsi:type="dcterms:W3CDTF">2022-02-25T10:37:00Z</dcterms:modified>
</cp:coreProperties>
</file>